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86" w:rsidRPr="00170F5A" w:rsidRDefault="00402286" w:rsidP="00402286">
      <w:pPr>
        <w:pStyle w:val="Header"/>
        <w:jc w:val="right"/>
        <w:rPr>
          <w:i/>
          <w:iCs/>
          <w:sz w:val="16"/>
          <w:szCs w:val="16"/>
        </w:rPr>
      </w:pPr>
      <w:bookmarkStart w:id="0" w:name="_Toc345605715"/>
      <w:bookmarkStart w:id="1" w:name="_Toc345914735"/>
      <w:bookmarkStart w:id="2" w:name="_Toc345915261"/>
      <w:bookmarkStart w:id="3" w:name="_Toc345915324"/>
      <w:bookmarkStart w:id="4" w:name="_Toc273093681"/>
      <w:r w:rsidRPr="00170F5A">
        <w:rPr>
          <w:i/>
          <w:iCs/>
          <w:sz w:val="16"/>
          <w:szCs w:val="16"/>
        </w:rPr>
        <w:t>Draft – Strictly Not for Quotation</w:t>
      </w:r>
    </w:p>
    <w:p w:rsidR="000962E9" w:rsidRPr="000962E9" w:rsidRDefault="000962E9" w:rsidP="000962E9">
      <w:pPr>
        <w:jc w:val="center"/>
        <w:rPr>
          <w:rFonts w:cs="Arial"/>
          <w:b/>
          <w:bCs/>
          <w:sz w:val="40"/>
        </w:rPr>
      </w:pPr>
      <w:r w:rsidRPr="000962E9">
        <w:rPr>
          <w:rFonts w:cs="Arial"/>
          <w:noProof/>
        </w:rPr>
        <w:drawing>
          <wp:anchor distT="0" distB="0" distL="114300" distR="114300" simplePos="0" relativeHeight="251665408" behindDoc="0" locked="0" layoutInCell="1" allowOverlap="1">
            <wp:simplePos x="0" y="0"/>
            <wp:positionH relativeFrom="column">
              <wp:posOffset>2129790</wp:posOffset>
            </wp:positionH>
            <wp:positionV relativeFrom="paragraph">
              <wp:posOffset>227330</wp:posOffset>
            </wp:positionV>
            <wp:extent cx="1279525" cy="899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9525" cy="899160"/>
                    </a:xfrm>
                    <a:prstGeom prst="rect">
                      <a:avLst/>
                    </a:prstGeom>
                    <a:noFill/>
                    <a:ln>
                      <a:noFill/>
                    </a:ln>
                  </pic:spPr>
                </pic:pic>
              </a:graphicData>
            </a:graphic>
          </wp:anchor>
        </w:drawing>
      </w:r>
      <w:r w:rsidR="00AF0BDB" w:rsidRPr="00AF0BDB">
        <w:rPr>
          <w:rFonts w:cs="Arial"/>
          <w:noProof/>
        </w:rPr>
        <w:pict>
          <v:rect id="Rectangle 2" o:spid="_x0000_s1026" style="position:absolute;left:0;text-align:left;margin-left:-102.85pt;margin-top:-73.8pt;width:645.55pt;height:62.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" fillcolor="white [3212]" strokecolor="white [3212]"/>
        </w:pict>
      </w:r>
    </w:p>
    <w:p w:rsidR="000962E9" w:rsidRPr="000962E9" w:rsidRDefault="000962E9" w:rsidP="000962E9">
      <w:pPr>
        <w:jc w:val="center"/>
        <w:rPr>
          <w:rFonts w:cs="Arial"/>
          <w:b/>
          <w:bCs/>
          <w:sz w:val="40"/>
        </w:rPr>
      </w:pPr>
    </w:p>
    <w:p w:rsidR="000962E9" w:rsidRPr="000962E9" w:rsidRDefault="000962E9" w:rsidP="000962E9">
      <w:pPr>
        <w:jc w:val="center"/>
        <w:rPr>
          <w:rFonts w:cs="Arial"/>
          <w:b/>
          <w:bCs/>
          <w:sz w:val="40"/>
        </w:rPr>
      </w:pPr>
    </w:p>
    <w:p w:rsidR="000962E9" w:rsidRDefault="000962E9" w:rsidP="000962E9">
      <w:pPr>
        <w:jc w:val="center"/>
        <w:rPr>
          <w:rFonts w:cs="Arial"/>
          <w:b/>
          <w:sz w:val="40"/>
          <w:szCs w:val="40"/>
        </w:rPr>
      </w:pPr>
    </w:p>
    <w:p w:rsidR="000962E9" w:rsidRPr="000962E9" w:rsidRDefault="000962E9" w:rsidP="000962E9">
      <w:pPr>
        <w:jc w:val="center"/>
        <w:rPr>
          <w:rFonts w:cs="Arial"/>
          <w:b/>
          <w:sz w:val="40"/>
          <w:szCs w:val="40"/>
        </w:rPr>
      </w:pPr>
      <w:r w:rsidRPr="000962E9">
        <w:rPr>
          <w:rFonts w:cs="Arial"/>
          <w:b/>
          <w:sz w:val="40"/>
          <w:szCs w:val="40"/>
        </w:rPr>
        <w:t>18</w:t>
      </w:r>
      <w:r w:rsidRPr="000962E9">
        <w:rPr>
          <w:rFonts w:cs="Arial"/>
          <w:b/>
          <w:sz w:val="40"/>
          <w:szCs w:val="40"/>
          <w:vertAlign w:val="superscript"/>
        </w:rPr>
        <w:t>th</w:t>
      </w:r>
      <w:r w:rsidRPr="000962E9">
        <w:rPr>
          <w:rFonts w:cs="Arial"/>
          <w:b/>
          <w:sz w:val="40"/>
          <w:szCs w:val="40"/>
        </w:rPr>
        <w:t xml:space="preserve"> ANNUAL RESEARCH WORKSHOP</w:t>
      </w:r>
    </w:p>
    <w:p w:rsidR="000962E9" w:rsidRPr="000962E9" w:rsidRDefault="000962E9" w:rsidP="000962E9">
      <w:pPr>
        <w:jc w:val="center"/>
        <w:rPr>
          <w:rFonts w:cs="Arial"/>
          <w:sz w:val="36"/>
          <w:szCs w:val="36"/>
        </w:rPr>
      </w:pPr>
    </w:p>
    <w:p w:rsidR="000962E9" w:rsidRPr="000962E9" w:rsidRDefault="000962E9" w:rsidP="000962E9">
      <w:pPr>
        <w:jc w:val="center"/>
        <w:rPr>
          <w:rFonts w:cs="Arial"/>
          <w:sz w:val="36"/>
          <w:szCs w:val="36"/>
        </w:rPr>
      </w:pPr>
    </w:p>
    <w:p w:rsidR="000962E9" w:rsidRPr="000962E9" w:rsidRDefault="000962E9" w:rsidP="000962E9">
      <w:pPr>
        <w:jc w:val="center"/>
        <w:rPr>
          <w:rFonts w:eastAsia="Calibri" w:cs="Arial"/>
        </w:rPr>
      </w:pPr>
    </w:p>
    <w:p w:rsidR="000962E9" w:rsidRPr="000962E9" w:rsidRDefault="000962E9" w:rsidP="000962E9">
      <w:pPr>
        <w:ind w:left="720"/>
        <w:jc w:val="center"/>
        <w:outlineLvl w:val="0"/>
        <w:rPr>
          <w:rFonts w:eastAsia="Times New Roman" w:cs="Arial"/>
          <w:b/>
          <w:bCs/>
          <w:kern w:val="36"/>
          <w:sz w:val="36"/>
          <w:szCs w:val="36"/>
        </w:rPr>
      </w:pPr>
      <w:bookmarkStart w:id="5" w:name="_Toc349636404"/>
      <w:r w:rsidRPr="000962E9">
        <w:rPr>
          <w:rFonts w:eastAsia="Times New Roman" w:cs="Arial"/>
          <w:b/>
          <w:bCs/>
          <w:kern w:val="36"/>
          <w:sz w:val="36"/>
          <w:szCs w:val="36"/>
        </w:rPr>
        <w:t xml:space="preserve">Do Tax Practitioners Foster Taxpayer Compliance? Empirical Evidence </w:t>
      </w:r>
      <w:r>
        <w:rPr>
          <w:rFonts w:eastAsia="Times New Roman" w:cs="Arial"/>
          <w:b/>
          <w:bCs/>
          <w:kern w:val="36"/>
          <w:sz w:val="36"/>
          <w:szCs w:val="36"/>
        </w:rPr>
        <w:t>f</w:t>
      </w:r>
      <w:r w:rsidRPr="000962E9">
        <w:rPr>
          <w:rFonts w:eastAsia="Times New Roman" w:cs="Arial"/>
          <w:b/>
          <w:bCs/>
          <w:kern w:val="36"/>
          <w:sz w:val="36"/>
          <w:szCs w:val="36"/>
        </w:rPr>
        <w:t>rom Tanzania</w:t>
      </w:r>
      <w:bookmarkEnd w:id="5"/>
    </w:p>
    <w:p w:rsidR="000962E9" w:rsidRPr="000962E9" w:rsidRDefault="000962E9" w:rsidP="000962E9">
      <w:pPr>
        <w:ind w:left="720"/>
        <w:jc w:val="center"/>
        <w:outlineLvl w:val="0"/>
        <w:rPr>
          <w:rFonts w:eastAsia="Times New Roman" w:cs="Arial"/>
          <w:b/>
          <w:bCs/>
          <w:kern w:val="36"/>
          <w:sz w:val="36"/>
          <w:szCs w:val="36"/>
        </w:rPr>
      </w:pPr>
    </w:p>
    <w:p w:rsidR="000962E9" w:rsidRPr="000962E9" w:rsidRDefault="000962E9" w:rsidP="000962E9">
      <w:pPr>
        <w:ind w:left="720"/>
        <w:jc w:val="center"/>
        <w:outlineLvl w:val="0"/>
        <w:rPr>
          <w:rFonts w:eastAsia="Times New Roman" w:cs="Arial"/>
          <w:b/>
          <w:bCs/>
          <w:kern w:val="36"/>
          <w:sz w:val="36"/>
          <w:szCs w:val="36"/>
        </w:rPr>
      </w:pPr>
      <w:bookmarkStart w:id="6" w:name="_Toc349636405"/>
      <w:r w:rsidRPr="000962E9">
        <w:rPr>
          <w:rFonts w:eastAsia="Times New Roman" w:cs="Arial"/>
          <w:b/>
          <w:bCs/>
          <w:kern w:val="36"/>
          <w:sz w:val="36"/>
          <w:szCs w:val="36"/>
        </w:rPr>
        <w:t>by</w:t>
      </w:r>
      <w:bookmarkEnd w:id="6"/>
    </w:p>
    <w:p w:rsidR="000962E9" w:rsidRPr="000962E9" w:rsidRDefault="000962E9" w:rsidP="000962E9">
      <w:pPr>
        <w:ind w:left="720"/>
        <w:jc w:val="center"/>
        <w:outlineLvl w:val="0"/>
        <w:rPr>
          <w:rFonts w:eastAsia="Times New Roman" w:cs="Arial"/>
          <w:b/>
          <w:bCs/>
          <w:kern w:val="36"/>
          <w:sz w:val="36"/>
          <w:szCs w:val="36"/>
        </w:rPr>
      </w:pPr>
    </w:p>
    <w:p w:rsidR="000962E9" w:rsidRPr="000962E9" w:rsidRDefault="000962E9" w:rsidP="000962E9">
      <w:pPr>
        <w:jc w:val="center"/>
        <w:outlineLvl w:val="0"/>
        <w:rPr>
          <w:rFonts w:eastAsia="Times New Roman" w:cs="Arial"/>
          <w:b/>
          <w:sz w:val="36"/>
          <w:szCs w:val="36"/>
          <w:lang w:val="en-GB"/>
        </w:rPr>
      </w:pPr>
      <w:bookmarkStart w:id="7" w:name="_Toc349636406"/>
      <w:r w:rsidRPr="000962E9">
        <w:rPr>
          <w:rFonts w:eastAsia="Times New Roman" w:cs="Arial"/>
          <w:b/>
          <w:bCs/>
          <w:kern w:val="36"/>
          <w:sz w:val="36"/>
          <w:szCs w:val="36"/>
        </w:rPr>
        <w:t xml:space="preserve">Patrick Mugoyaand </w:t>
      </w:r>
      <w:r w:rsidRPr="000962E9">
        <w:rPr>
          <w:rFonts w:eastAsia="Times New Roman" w:cs="Arial"/>
          <w:b/>
          <w:sz w:val="36"/>
          <w:szCs w:val="36"/>
          <w:lang w:val="en-GB"/>
        </w:rPr>
        <w:t>Cyril Chimilila</w:t>
      </w:r>
      <w:bookmarkEnd w:id="7"/>
    </w:p>
    <w:p w:rsidR="000962E9" w:rsidRDefault="000962E9" w:rsidP="000962E9">
      <w:pPr>
        <w:jc w:val="center"/>
        <w:rPr>
          <w:rFonts w:cs="Arial"/>
        </w:rPr>
      </w:pPr>
    </w:p>
    <w:p w:rsidR="000962E9" w:rsidRDefault="000962E9" w:rsidP="000962E9">
      <w:pPr>
        <w:jc w:val="center"/>
        <w:rPr>
          <w:rFonts w:cs="Arial"/>
        </w:rPr>
      </w:pPr>
    </w:p>
    <w:p w:rsidR="000962E9" w:rsidRPr="000962E9" w:rsidRDefault="000962E9" w:rsidP="000962E9">
      <w:pPr>
        <w:jc w:val="center"/>
        <w:rPr>
          <w:rFonts w:cs="Arial"/>
        </w:rPr>
      </w:pPr>
    </w:p>
    <w:p w:rsidR="000962E9" w:rsidRPr="000962E9" w:rsidRDefault="000962E9" w:rsidP="000962E9">
      <w:pPr>
        <w:jc w:val="center"/>
        <w:rPr>
          <w:rFonts w:cs="Arial"/>
          <w:b/>
          <w:i/>
          <w:sz w:val="28"/>
          <w:szCs w:val="28"/>
        </w:rPr>
      </w:pPr>
      <w:r w:rsidRPr="000962E9">
        <w:rPr>
          <w:rFonts w:cs="Arial"/>
          <w:b/>
          <w:i/>
          <w:sz w:val="28"/>
          <w:szCs w:val="28"/>
        </w:rPr>
        <w:t xml:space="preserve">Draft Report </w:t>
      </w:r>
      <w:r w:rsidRPr="000962E9">
        <w:rPr>
          <w:rFonts w:cs="Arial"/>
          <w:b/>
          <w:i/>
          <w:sz w:val="28"/>
          <w:szCs w:val="28"/>
        </w:rPr>
        <w:tab/>
      </w:r>
      <w:r w:rsidRPr="000962E9">
        <w:rPr>
          <w:rFonts w:cs="Arial"/>
          <w:b/>
          <w:i/>
          <w:sz w:val="28"/>
          <w:szCs w:val="28"/>
        </w:rPr>
        <w:tab/>
      </w:r>
      <w:r w:rsidRPr="000962E9">
        <w:rPr>
          <w:rFonts w:cs="Arial"/>
          <w:b/>
          <w:i/>
          <w:sz w:val="28"/>
          <w:szCs w:val="28"/>
        </w:rPr>
        <w:tab/>
      </w:r>
      <w:r w:rsidRPr="000962E9">
        <w:rPr>
          <w:rFonts w:cs="Arial"/>
          <w:b/>
          <w:i/>
          <w:sz w:val="28"/>
          <w:szCs w:val="28"/>
        </w:rPr>
        <w:tab/>
      </w:r>
      <w:r w:rsidRPr="000962E9">
        <w:rPr>
          <w:rFonts w:cs="Arial"/>
          <w:b/>
          <w:i/>
          <w:sz w:val="28"/>
          <w:szCs w:val="28"/>
        </w:rPr>
        <w:tab/>
      </w:r>
      <w:r w:rsidRPr="000962E9">
        <w:rPr>
          <w:rFonts w:cs="Arial"/>
          <w:b/>
          <w:i/>
          <w:sz w:val="28"/>
          <w:szCs w:val="28"/>
        </w:rPr>
        <w:tab/>
      </w:r>
      <w:r w:rsidR="004F5761">
        <w:rPr>
          <w:rFonts w:cs="Arial"/>
          <w:b/>
          <w:i/>
          <w:sz w:val="28"/>
          <w:szCs w:val="28"/>
        </w:rPr>
        <w:t>GV1</w:t>
      </w:r>
    </w:p>
    <w:p w:rsidR="000962E9" w:rsidRPr="000962E9" w:rsidRDefault="000962E9" w:rsidP="000962E9">
      <w:pPr>
        <w:jc w:val="center"/>
        <w:rPr>
          <w:rFonts w:cs="Arial"/>
        </w:rPr>
      </w:pPr>
    </w:p>
    <w:p w:rsidR="000962E9" w:rsidRPr="000962E9" w:rsidRDefault="000962E9" w:rsidP="000962E9">
      <w:pPr>
        <w:jc w:val="center"/>
        <w:rPr>
          <w:rFonts w:cs="Arial"/>
        </w:rPr>
      </w:pPr>
    </w:p>
    <w:p w:rsidR="000962E9" w:rsidRPr="000962E9" w:rsidRDefault="000962E9" w:rsidP="000962E9">
      <w:pPr>
        <w:jc w:val="center"/>
        <w:rPr>
          <w:rFonts w:cs="Arial"/>
        </w:rPr>
      </w:pPr>
    </w:p>
    <w:p w:rsidR="000962E9" w:rsidRPr="000962E9" w:rsidRDefault="000962E9" w:rsidP="000962E9">
      <w:pPr>
        <w:pStyle w:val="BodyText"/>
        <w:spacing w:after="0" w:line="288" w:lineRule="auto"/>
        <w:jc w:val="center"/>
        <w:rPr>
          <w:rFonts w:ascii="Arial" w:hAnsi="Arial" w:cs="Arial"/>
          <w:sz w:val="28"/>
          <w:szCs w:val="28"/>
        </w:rPr>
      </w:pPr>
      <w:r w:rsidRPr="000962E9">
        <w:rPr>
          <w:rFonts w:ascii="Arial" w:hAnsi="Arial" w:cs="Arial"/>
          <w:sz w:val="28"/>
          <w:szCs w:val="28"/>
        </w:rPr>
        <w:t>Presented at REPOA’s 18</w:t>
      </w:r>
      <w:r w:rsidRPr="000962E9">
        <w:rPr>
          <w:rFonts w:ascii="Arial" w:hAnsi="Arial" w:cs="Arial"/>
          <w:sz w:val="28"/>
          <w:szCs w:val="28"/>
          <w:vertAlign w:val="superscript"/>
        </w:rPr>
        <w:t>th</w:t>
      </w:r>
      <w:r w:rsidRPr="000962E9">
        <w:rPr>
          <w:rFonts w:ascii="Arial" w:hAnsi="Arial" w:cs="Arial"/>
          <w:sz w:val="28"/>
          <w:szCs w:val="28"/>
        </w:rPr>
        <w:t xml:space="preserve"> Annual Research Workshop</w:t>
      </w:r>
    </w:p>
    <w:p w:rsidR="000962E9" w:rsidRPr="000962E9" w:rsidRDefault="000962E9" w:rsidP="000962E9">
      <w:pPr>
        <w:pStyle w:val="BodyText"/>
        <w:spacing w:after="0" w:line="288" w:lineRule="auto"/>
        <w:jc w:val="center"/>
        <w:rPr>
          <w:rFonts w:ascii="Arial" w:hAnsi="Arial" w:cs="Arial"/>
          <w:sz w:val="28"/>
          <w:szCs w:val="28"/>
        </w:rPr>
      </w:pPr>
      <w:r w:rsidRPr="000962E9">
        <w:rPr>
          <w:rFonts w:ascii="Arial" w:hAnsi="Arial" w:cs="Arial"/>
          <w:sz w:val="28"/>
          <w:szCs w:val="28"/>
        </w:rPr>
        <w:t>held at the Kunduchi Beach Hotel, Dar es Salaam, Tanzania;</w:t>
      </w:r>
    </w:p>
    <w:p w:rsidR="000962E9" w:rsidRPr="000962E9" w:rsidRDefault="000962E9" w:rsidP="000962E9">
      <w:pPr>
        <w:pStyle w:val="BodyText"/>
        <w:spacing w:after="0" w:line="288" w:lineRule="auto"/>
        <w:jc w:val="center"/>
        <w:rPr>
          <w:rFonts w:ascii="Arial" w:hAnsi="Arial" w:cs="Arial"/>
          <w:sz w:val="28"/>
          <w:szCs w:val="28"/>
        </w:rPr>
      </w:pPr>
      <w:r w:rsidRPr="000962E9">
        <w:rPr>
          <w:rFonts w:ascii="Arial" w:hAnsi="Arial" w:cs="Arial"/>
          <w:sz w:val="28"/>
          <w:szCs w:val="28"/>
        </w:rPr>
        <w:t>April 3-4, 2013</w:t>
      </w:r>
    </w:p>
    <w:p w:rsidR="000962E9" w:rsidRPr="000962E9" w:rsidRDefault="000962E9" w:rsidP="000962E9">
      <w:pPr>
        <w:pStyle w:val="BodyText"/>
        <w:spacing w:after="0" w:line="288" w:lineRule="auto"/>
        <w:jc w:val="center"/>
        <w:rPr>
          <w:rFonts w:ascii="Arial" w:hAnsi="Arial" w:cs="Arial"/>
          <w:sz w:val="28"/>
          <w:szCs w:val="28"/>
        </w:rPr>
      </w:pPr>
    </w:p>
    <w:p w:rsidR="000962E9" w:rsidRPr="000962E9" w:rsidRDefault="000962E9" w:rsidP="000962E9">
      <w:pPr>
        <w:rPr>
          <w:rFonts w:cs="Arial"/>
          <w:i/>
          <w:sz w:val="20"/>
          <w:szCs w:val="20"/>
        </w:rPr>
      </w:pPr>
    </w:p>
    <w:p w:rsidR="000962E9" w:rsidRPr="000962E9" w:rsidRDefault="000962E9" w:rsidP="000962E9">
      <w:pPr>
        <w:rPr>
          <w:rFonts w:cs="Arial"/>
          <w:i/>
          <w:sz w:val="20"/>
          <w:szCs w:val="20"/>
        </w:rPr>
      </w:pPr>
    </w:p>
    <w:p w:rsidR="000962E9" w:rsidRPr="000962E9" w:rsidRDefault="000962E9" w:rsidP="000962E9">
      <w:pPr>
        <w:rPr>
          <w:rFonts w:cs="Arial"/>
          <w:i/>
          <w:sz w:val="20"/>
          <w:szCs w:val="20"/>
        </w:rPr>
      </w:pPr>
    </w:p>
    <w:p w:rsidR="000962E9" w:rsidRDefault="000962E9" w:rsidP="000962E9">
      <w:pPr>
        <w:rPr>
          <w:rFonts w:cs="Arial"/>
          <w:i/>
          <w:szCs w:val="24"/>
        </w:rPr>
      </w:pPr>
    </w:p>
    <w:p w:rsidR="00402286" w:rsidRPr="00536E85" w:rsidRDefault="00402286" w:rsidP="00402286">
      <w:pPr>
        <w:pStyle w:val="BodyText"/>
        <w:rPr>
          <w:rFonts w:ascii="Verdana" w:hAnsi="Verdana"/>
          <w:i/>
          <w:sz w:val="16"/>
          <w:szCs w:val="16"/>
        </w:rPr>
      </w:pPr>
      <w:r w:rsidRPr="00536E85">
        <w:rPr>
          <w:rFonts w:ascii="Verdana" w:hAnsi="Verdana"/>
          <w:i/>
          <w:sz w:val="16"/>
          <w:szCs w:val="16"/>
        </w:rPr>
        <w:t xml:space="preserve">REPOA funded this research project as a part of our capacity building programme for researchers. This preliminary material / interim, or draft research report is being disseminated to encourage discussion and critical comment amongst the participants of REPOA’s Annual Research Workshop. It is not for general distribution.  </w:t>
      </w:r>
    </w:p>
    <w:p w:rsidR="00402286" w:rsidRPr="00536E85" w:rsidRDefault="00402286" w:rsidP="00402286">
      <w:pPr>
        <w:spacing w:line="240" w:lineRule="auto"/>
        <w:rPr>
          <w:rFonts w:ascii="Verdana" w:hAnsi="Verdana"/>
          <w:i/>
          <w:sz w:val="16"/>
          <w:szCs w:val="16"/>
        </w:rPr>
      </w:pPr>
    </w:p>
    <w:p w:rsidR="000962E9" w:rsidRPr="000962E9" w:rsidRDefault="00AF0BDB" w:rsidP="00402286">
      <w:pPr>
        <w:spacing w:line="240" w:lineRule="auto"/>
        <w:rPr>
          <w:rFonts w:eastAsia="Times New Roman" w:cs="Arial"/>
          <w:b/>
          <w:bCs/>
          <w:kern w:val="36"/>
          <w:szCs w:val="24"/>
        </w:rPr>
      </w:pPr>
      <w:r w:rsidRPr="00AF0BDB">
        <w:rPr>
          <w:rFonts w:cs="Arial"/>
          <w:i/>
          <w:noProof/>
        </w:rPr>
        <w:pict>
          <v:rect id="Rectangle 1" o:spid="_x0000_s1028" style="position:absolute;margin-left:-85.15pt;margin-top:31pt;width:645.55pt;height:74.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" strokecolor="white [3212]"/>
        </w:pict>
      </w:r>
      <w:r w:rsidRPr="00AF0BDB">
        <w:rPr>
          <w:rFonts w:cs="Arial"/>
          <w:b/>
          <w:bCs/>
          <w:noProof/>
          <w:sz w:val="40"/>
        </w:rPr>
        <w:pict>
          <v:rect id="Rectangle 3" o:spid="_x0000_s1027" style="position:absolute;margin-left:-92.65pt;margin-top:64.5pt;width:645.55pt;height:74.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" fillcolor="#dbe5f1 [660]" strokecolor="white [3212]"/>
        </w:pict>
      </w:r>
      <w:r w:rsidR="00402286" w:rsidRPr="00536E85">
        <w:rPr>
          <w:rFonts w:ascii="Verdana" w:hAnsi="Verdana"/>
          <w:i/>
          <w:sz w:val="16"/>
          <w:szCs w:val="16"/>
        </w:rPr>
        <w:t>This paper has not undergone REPOA’s formal review and editing process.  Any views expressed are of the author(s) and do not necessarily represent the views of REPOA or any other organisation</w:t>
      </w:r>
      <w:r w:rsidR="00402286" w:rsidRPr="00536E85">
        <w:rPr>
          <w:rFonts w:ascii="Verdana" w:hAnsi="Verdana" w:cs="Arial"/>
          <w:i/>
          <w:sz w:val="16"/>
          <w:szCs w:val="16"/>
        </w:rPr>
        <w:t>.</w:t>
      </w:r>
    </w:p>
    <w:p w:rsidR="000962E9" w:rsidRDefault="000962E9" w:rsidP="000962E9">
      <w:pPr>
        <w:jc w:val="center"/>
        <w:outlineLvl w:val="0"/>
        <w:rPr>
          <w:rFonts w:eastAsia="Times New Roman" w:cs="Arial"/>
          <w:b/>
          <w:bCs/>
          <w:kern w:val="36"/>
          <w:szCs w:val="24"/>
        </w:rPr>
        <w:sectPr w:rsidR="000962E9" w:rsidSect="000962E9">
          <w:footerReference w:type="default" r:id="rId8"/>
          <w:footerReference w:type="first" r:id="rId9"/>
          <w:pgSz w:w="11909" w:h="16834" w:code="9"/>
          <w:pgMar w:top="1440" w:right="1440" w:bottom="1440" w:left="1440" w:header="720" w:footer="720" w:gutter="0"/>
          <w:cols w:space="720"/>
          <w:docGrid w:linePitch="360"/>
        </w:sectPr>
      </w:pPr>
    </w:p>
    <w:p w:rsidR="00D008B4" w:rsidRPr="00D008B4" w:rsidRDefault="00D008B4" w:rsidP="00D008B4">
      <w:pPr>
        <w:jc w:val="right"/>
        <w:rPr>
          <w:b/>
          <w:sz w:val="28"/>
          <w:szCs w:val="28"/>
        </w:rPr>
      </w:pPr>
      <w:r w:rsidRPr="00D008B4">
        <w:rPr>
          <w:b/>
          <w:sz w:val="28"/>
          <w:szCs w:val="28"/>
        </w:rPr>
        <w:lastRenderedPageBreak/>
        <w:t xml:space="preserve">Do Tax Practitioners Foster Taxpayer Compliance? </w:t>
      </w:r>
    </w:p>
    <w:p w:rsidR="00D008B4" w:rsidRDefault="00D008B4" w:rsidP="00D008B4">
      <w:pPr>
        <w:jc w:val="right"/>
        <w:rPr>
          <w:b/>
          <w:sz w:val="28"/>
          <w:szCs w:val="28"/>
        </w:rPr>
      </w:pPr>
      <w:r w:rsidRPr="00D008B4">
        <w:rPr>
          <w:b/>
          <w:sz w:val="28"/>
          <w:szCs w:val="28"/>
        </w:rPr>
        <w:t>Empirical Evidence from Tanzania</w:t>
      </w:r>
      <w:bookmarkEnd w:id="0"/>
      <w:bookmarkEnd w:id="1"/>
      <w:bookmarkEnd w:id="2"/>
      <w:bookmarkEnd w:id="3"/>
    </w:p>
    <w:p w:rsidR="00361DC8" w:rsidRPr="00D008B4" w:rsidRDefault="00D008B4" w:rsidP="00D008B4">
      <w:pPr>
        <w:jc w:val="right"/>
        <w:rPr>
          <w:b/>
          <w:sz w:val="28"/>
          <w:szCs w:val="28"/>
          <w:lang w:val="en-GB"/>
        </w:rPr>
      </w:pPr>
      <w:r w:rsidRPr="00D008B4">
        <w:rPr>
          <w:b/>
          <w:sz w:val="28"/>
          <w:szCs w:val="28"/>
        </w:rPr>
        <w:t xml:space="preserve">By </w:t>
      </w:r>
      <w:bookmarkStart w:id="8" w:name="_Toc345915262"/>
      <w:bookmarkStart w:id="9" w:name="_Toc345915325"/>
      <w:r w:rsidRPr="00D008B4">
        <w:rPr>
          <w:b/>
          <w:sz w:val="28"/>
          <w:szCs w:val="28"/>
        </w:rPr>
        <w:t>Patrick Mugoya</w:t>
      </w:r>
      <w:r w:rsidR="00361DC8" w:rsidRPr="00D008B4">
        <w:rPr>
          <w:rStyle w:val="FootnoteReference"/>
          <w:rFonts w:eastAsia="Times New Roman" w:cs="Arial"/>
          <w:b/>
          <w:bCs/>
          <w:kern w:val="36"/>
          <w:sz w:val="28"/>
          <w:szCs w:val="28"/>
        </w:rPr>
        <w:footnoteReference w:id="2"/>
      </w:r>
      <w:bookmarkEnd w:id="8"/>
      <w:bookmarkEnd w:id="9"/>
      <w:r w:rsidRPr="00D008B4">
        <w:rPr>
          <w:b/>
          <w:sz w:val="28"/>
          <w:szCs w:val="28"/>
        </w:rPr>
        <w:t xml:space="preserve">and </w:t>
      </w:r>
      <w:r w:rsidRPr="00D008B4">
        <w:rPr>
          <w:b/>
          <w:sz w:val="28"/>
          <w:szCs w:val="28"/>
          <w:lang w:val="en-GB"/>
        </w:rPr>
        <w:t>C</w:t>
      </w:r>
      <w:bookmarkStart w:id="10" w:name="_GoBack"/>
      <w:bookmarkEnd w:id="10"/>
      <w:r w:rsidRPr="00D008B4">
        <w:rPr>
          <w:b/>
          <w:sz w:val="28"/>
          <w:szCs w:val="28"/>
          <w:lang w:val="en-GB"/>
        </w:rPr>
        <w:t>yril Chimilila</w:t>
      </w:r>
    </w:p>
    <w:p w:rsidR="00361DC8" w:rsidRPr="000962E9" w:rsidRDefault="00361DC8" w:rsidP="000962E9">
      <w:pPr>
        <w:jc w:val="both"/>
        <w:rPr>
          <w:rFonts w:eastAsia="Times New Roman" w:cs="Arial"/>
          <w:b/>
          <w:szCs w:val="24"/>
          <w:lang w:val="en-GB"/>
        </w:rPr>
      </w:pPr>
    </w:p>
    <w:p w:rsidR="00361DC8" w:rsidRPr="000962E9" w:rsidRDefault="00361DC8" w:rsidP="000962E9">
      <w:pPr>
        <w:pStyle w:val="Heading1"/>
        <w:rPr>
          <w:rFonts w:eastAsia="Times New Roman"/>
          <w:lang w:val="en-GB"/>
        </w:rPr>
      </w:pPr>
      <w:bookmarkStart w:id="11" w:name="_Toc349636407"/>
      <w:r w:rsidRPr="000962E9">
        <w:rPr>
          <w:rFonts w:eastAsia="Times New Roman"/>
          <w:lang w:val="en-GB"/>
        </w:rPr>
        <w:t>ABSTRACT</w:t>
      </w:r>
      <w:bookmarkEnd w:id="11"/>
    </w:p>
    <w:p w:rsidR="000962E9" w:rsidRDefault="000962E9" w:rsidP="000962E9">
      <w:pPr>
        <w:jc w:val="both"/>
        <w:rPr>
          <w:rFonts w:eastAsia="Times New Roman" w:cs="Arial"/>
          <w:i/>
          <w:szCs w:val="24"/>
          <w:lang w:val="en-GB"/>
        </w:rPr>
      </w:pPr>
    </w:p>
    <w:p w:rsidR="00361DC8" w:rsidRPr="000962E9" w:rsidRDefault="00361DC8" w:rsidP="000962E9">
      <w:pPr>
        <w:jc w:val="both"/>
        <w:rPr>
          <w:rFonts w:eastAsia="Times New Roman" w:cs="Arial"/>
          <w:b/>
          <w:szCs w:val="24"/>
          <w:lang w:val="en-GB"/>
        </w:rPr>
      </w:pPr>
      <w:r w:rsidRPr="000962E9">
        <w:rPr>
          <w:rFonts w:eastAsia="Times New Roman" w:cs="Arial"/>
          <w:i/>
          <w:szCs w:val="24"/>
          <w:lang w:val="en-GB"/>
        </w:rPr>
        <w:t xml:space="preserve">This paper uses micro-level tax audit data from the Tanzania Revenue Authority to test empirically the presumption that, by helping taxpayers to interpret complex tax provisions, tax practitioners foster taxpayer compliance. Using a multivariate econometric model that borrows from Erard (1993), the paper finds no evidence in support of this widely-held presumption. These startling findings could call into question either the proficiency standing of tax practitioners or the integrity of both tax practitioners and tax officials. A feasible option out of this undesirable condition is enhancement of the existing oversight framework for tax practitioners that includes an element of self-regulation. For this to happen in Tanzania, the tax authority may be called upon to champion establishment of a professional tax body.   </w:t>
      </w:r>
    </w:p>
    <w:p w:rsidR="00361DC8" w:rsidRPr="000962E9" w:rsidRDefault="00361DC8" w:rsidP="000962E9">
      <w:pPr>
        <w:jc w:val="both"/>
        <w:rPr>
          <w:rFonts w:eastAsia="Times New Roman" w:cs="Arial"/>
          <w:b/>
          <w:szCs w:val="24"/>
          <w:lang w:val="en-GB"/>
        </w:rPr>
      </w:pPr>
    </w:p>
    <w:p w:rsidR="000962E9" w:rsidRDefault="000962E9">
      <w:pPr>
        <w:rPr>
          <w:rFonts w:eastAsia="Times New Roman" w:cs="Arial"/>
          <w:b/>
          <w:szCs w:val="24"/>
          <w:lang w:val="en-GB"/>
        </w:rPr>
      </w:pPr>
      <w:r>
        <w:rPr>
          <w:rFonts w:eastAsia="Times New Roman" w:cs="Arial"/>
          <w:b/>
          <w:szCs w:val="24"/>
          <w:lang w:val="en-GB"/>
        </w:rPr>
        <w:br w:type="page"/>
      </w:r>
    </w:p>
    <w:p w:rsidR="000962E9" w:rsidRDefault="000962E9" w:rsidP="000962E9">
      <w:pPr>
        <w:pStyle w:val="Heading1"/>
        <w:rPr>
          <w:rFonts w:eastAsia="Times New Roman"/>
          <w:lang w:val="en-GB"/>
        </w:rPr>
      </w:pPr>
      <w:bookmarkStart w:id="12" w:name="_Toc349636408"/>
      <w:r>
        <w:rPr>
          <w:rFonts w:eastAsia="Times New Roman"/>
          <w:lang w:val="en-GB"/>
        </w:rPr>
        <w:lastRenderedPageBreak/>
        <w:t>Table of Contents</w:t>
      </w:r>
      <w:bookmarkEnd w:id="12"/>
    </w:p>
    <w:p w:rsidR="000962E9" w:rsidRDefault="000962E9" w:rsidP="000962E9">
      <w:pPr>
        <w:jc w:val="both"/>
        <w:rPr>
          <w:rFonts w:eastAsia="Times New Roman" w:cs="Arial"/>
          <w:b/>
          <w:szCs w:val="24"/>
          <w:lang w:val="en-GB"/>
        </w:rPr>
      </w:pPr>
    </w:p>
    <w:p w:rsidR="00D008B4" w:rsidRPr="00D008B4" w:rsidRDefault="00AF0BDB">
      <w:pPr>
        <w:pStyle w:val="TOC1"/>
        <w:tabs>
          <w:tab w:val="right" w:leader="dot" w:pos="9019"/>
        </w:tabs>
        <w:rPr>
          <w:rFonts w:asciiTheme="minorHAnsi" w:eastAsiaTheme="minorEastAsia" w:hAnsiTheme="minorHAnsi" w:cstheme="minorBidi"/>
          <w:b w:val="0"/>
          <w:bCs w:val="0"/>
          <w:caps w:val="0"/>
          <w:noProof/>
          <w:sz w:val="24"/>
          <w:szCs w:val="24"/>
        </w:rPr>
      </w:pPr>
      <w:r w:rsidRPr="00AF0BDB">
        <w:rPr>
          <w:rFonts w:eastAsia="Times New Roman" w:cs="Arial"/>
          <w:b w:val="0"/>
          <w:sz w:val="24"/>
          <w:szCs w:val="24"/>
          <w:lang w:val="en-GB"/>
        </w:rPr>
        <w:fldChar w:fldCharType="begin"/>
      </w:r>
      <w:r w:rsidR="00D008B4" w:rsidRPr="00D008B4">
        <w:rPr>
          <w:rFonts w:eastAsia="Times New Roman" w:cs="Arial"/>
          <w:b w:val="0"/>
          <w:sz w:val="24"/>
          <w:szCs w:val="24"/>
          <w:lang w:val="en-GB"/>
        </w:rPr>
        <w:instrText xml:space="preserve"> TOC \o "1-2" \h \z \u </w:instrText>
      </w:r>
      <w:r w:rsidRPr="00AF0BDB">
        <w:rPr>
          <w:rFonts w:eastAsia="Times New Roman" w:cs="Arial"/>
          <w:b w:val="0"/>
          <w:sz w:val="24"/>
          <w:szCs w:val="24"/>
          <w:lang w:val="en-GB"/>
        </w:rPr>
        <w:fldChar w:fldCharType="separate"/>
      </w:r>
      <w:hyperlink w:anchor="_Toc349636407" w:history="1">
        <w:r w:rsidR="00D008B4" w:rsidRPr="00D008B4">
          <w:rPr>
            <w:rStyle w:val="Hyperlink"/>
            <w:rFonts w:eastAsia="Times New Roman"/>
            <w:noProof/>
            <w:sz w:val="24"/>
            <w:szCs w:val="24"/>
            <w:lang w:val="en-GB"/>
          </w:rPr>
          <w:t>ABSTRACT</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_Toc349636407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i</w:t>
        </w:r>
        <w:r w:rsidRPr="00D008B4">
          <w:rPr>
            <w:noProof/>
            <w:webHidden/>
            <w:sz w:val="24"/>
            <w:szCs w:val="24"/>
          </w:rPr>
          <w:fldChar w:fldCharType="end"/>
        </w:r>
      </w:hyperlink>
    </w:p>
    <w:p w:rsidR="00D008B4" w:rsidRPr="00D008B4" w:rsidRDefault="00AF0BDB">
      <w:pPr>
        <w:pStyle w:val="TOC1"/>
        <w:tabs>
          <w:tab w:val="left" w:pos="660"/>
          <w:tab w:val="right" w:leader="dot" w:pos="9019"/>
        </w:tabs>
        <w:rPr>
          <w:rFonts w:asciiTheme="minorHAnsi" w:eastAsiaTheme="minorEastAsia" w:hAnsiTheme="minorHAnsi" w:cstheme="minorBidi"/>
          <w:b w:val="0"/>
          <w:bCs w:val="0"/>
          <w:caps w:val="0"/>
          <w:noProof/>
          <w:sz w:val="24"/>
          <w:szCs w:val="24"/>
        </w:rPr>
      </w:pPr>
      <w:hyperlink w:anchor="_Toc349636409" w:history="1">
        <w:r w:rsidR="00D008B4" w:rsidRPr="00D008B4">
          <w:rPr>
            <w:rStyle w:val="Hyperlink"/>
            <w:rFonts w:eastAsia="Times New Roman"/>
            <w:noProof/>
            <w:sz w:val="24"/>
            <w:szCs w:val="24"/>
            <w:lang w:val="en-GB"/>
          </w:rPr>
          <w:t>1.0</w:t>
        </w:r>
        <w:r w:rsidR="00D008B4" w:rsidRPr="00D008B4">
          <w:rPr>
            <w:rFonts w:asciiTheme="minorHAnsi" w:eastAsiaTheme="minorEastAsia" w:hAnsiTheme="minorHAnsi" w:cstheme="minorBidi"/>
            <w:b w:val="0"/>
            <w:bCs w:val="0"/>
            <w:caps w:val="0"/>
            <w:noProof/>
            <w:sz w:val="24"/>
            <w:szCs w:val="24"/>
          </w:rPr>
          <w:tab/>
        </w:r>
        <w:r w:rsidR="00D008B4" w:rsidRPr="00D008B4">
          <w:rPr>
            <w:rStyle w:val="Hyperlink"/>
            <w:rFonts w:eastAsia="Times New Roman"/>
            <w:noProof/>
            <w:sz w:val="24"/>
            <w:szCs w:val="24"/>
            <w:lang w:val="en-GB"/>
          </w:rPr>
          <w:t>INTRODUCTION</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_Toc349636409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1</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0" w:history="1">
        <w:r w:rsidR="00D008B4" w:rsidRPr="00D008B4">
          <w:rPr>
            <w:rStyle w:val="Hyperlink"/>
            <w:rFonts w:eastAsia="Times New Roman"/>
            <w:noProof/>
            <w:sz w:val="24"/>
            <w:szCs w:val="24"/>
            <w:lang w:val="en-GB"/>
          </w:rPr>
          <w:t>1.1</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Background</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_Toc349636410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1</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1" w:history="1">
        <w:r w:rsidR="00D008B4" w:rsidRPr="00D008B4">
          <w:rPr>
            <w:rStyle w:val="Hyperlink"/>
            <w:rFonts w:eastAsia="Times New Roman"/>
            <w:noProof/>
            <w:sz w:val="24"/>
            <w:szCs w:val="24"/>
            <w:lang w:val="en-GB"/>
          </w:rPr>
          <w:t>1.2</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Oversight Framework for Tax Practitioners</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_Toc349636411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1</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2" w:history="1">
        <w:r w:rsidR="00D008B4" w:rsidRPr="00D008B4">
          <w:rPr>
            <w:rStyle w:val="Hyperlink"/>
            <w:rFonts w:eastAsia="Times New Roman"/>
            <w:noProof/>
            <w:sz w:val="24"/>
            <w:szCs w:val="24"/>
            <w:lang w:val="en-GB"/>
          </w:rPr>
          <w:t>1.3</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Purpose of this Study</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_Toc349636412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3</w:t>
        </w:r>
        <w:r w:rsidRPr="00D008B4">
          <w:rPr>
            <w:noProof/>
            <w:webHidden/>
            <w:sz w:val="24"/>
            <w:szCs w:val="24"/>
          </w:rPr>
          <w:fldChar w:fldCharType="end"/>
        </w:r>
      </w:hyperlink>
    </w:p>
    <w:p w:rsidR="00D008B4" w:rsidRPr="00D008B4" w:rsidRDefault="00AF0BDB">
      <w:pPr>
        <w:pStyle w:val="TOC1"/>
        <w:tabs>
          <w:tab w:val="left" w:pos="660"/>
          <w:tab w:val="right" w:leader="dot" w:pos="9019"/>
        </w:tabs>
        <w:rPr>
          <w:rFonts w:asciiTheme="minorHAnsi" w:eastAsiaTheme="minorEastAsia" w:hAnsiTheme="minorHAnsi" w:cstheme="minorBidi"/>
          <w:b w:val="0"/>
          <w:bCs w:val="0"/>
          <w:caps w:val="0"/>
          <w:noProof/>
          <w:sz w:val="24"/>
          <w:szCs w:val="24"/>
        </w:rPr>
      </w:pPr>
      <w:hyperlink w:anchor="_Toc349636413" w:history="1">
        <w:r w:rsidR="00D008B4" w:rsidRPr="00D008B4">
          <w:rPr>
            <w:rStyle w:val="Hyperlink"/>
            <w:rFonts w:eastAsia="Times New Roman"/>
            <w:noProof/>
            <w:sz w:val="24"/>
            <w:szCs w:val="24"/>
            <w:lang w:val="en-GB"/>
          </w:rPr>
          <w:t>2.0</w:t>
        </w:r>
        <w:r w:rsidR="00D008B4" w:rsidRPr="00D008B4">
          <w:rPr>
            <w:rFonts w:asciiTheme="minorHAnsi" w:eastAsiaTheme="minorEastAsia" w:hAnsiTheme="minorHAnsi" w:cstheme="minorBidi"/>
            <w:b w:val="0"/>
            <w:bCs w:val="0"/>
            <w:caps w:val="0"/>
            <w:noProof/>
            <w:sz w:val="24"/>
            <w:szCs w:val="24"/>
          </w:rPr>
          <w:tab/>
        </w:r>
        <w:r w:rsidR="00D008B4" w:rsidRPr="00D008B4">
          <w:rPr>
            <w:rStyle w:val="Hyperlink"/>
            <w:rFonts w:eastAsia="Times New Roman"/>
            <w:noProof/>
            <w:sz w:val="24"/>
            <w:szCs w:val="24"/>
            <w:lang w:val="en-GB"/>
          </w:rPr>
          <w:t>REVIEW OF THE TAX PRACTITIONER LITERATURE</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_Toc349636413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4</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4" w:history="1">
        <w:r w:rsidR="00D008B4" w:rsidRPr="00D008B4">
          <w:rPr>
            <w:rStyle w:val="Hyperlink"/>
            <w:rFonts w:eastAsia="Times New Roman"/>
            <w:noProof/>
            <w:sz w:val="24"/>
            <w:szCs w:val="24"/>
            <w:lang w:val="en-GB"/>
          </w:rPr>
          <w:t>2.1</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Variation in the Focus of Tax Practitioner Studies</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_Toc349636414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4</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5" w:history="1">
        <w:r w:rsidR="00D008B4" w:rsidRPr="00D008B4">
          <w:rPr>
            <w:rStyle w:val="Hyperlink"/>
            <w:rFonts w:eastAsia="Times New Roman"/>
            <w:noProof/>
            <w:sz w:val="24"/>
            <w:szCs w:val="24"/>
            <w:lang w:val="en-GB"/>
          </w:rPr>
          <w:t>2.2</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Tax Practitioner Influence on Taxpayer Compliance</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_Toc349636415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4</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6" w:history="1">
        <w:r w:rsidR="00D008B4" w:rsidRPr="00D008B4">
          <w:rPr>
            <w:rStyle w:val="Hyperlink"/>
            <w:rFonts w:eastAsia="Times New Roman"/>
            <w:noProof/>
            <w:sz w:val="24"/>
            <w:szCs w:val="24"/>
            <w:lang w:val="en-GB"/>
          </w:rPr>
          <w:t>2.3</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Conflicting Empirical Findings: An Explanation</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_Toc349636416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5</w:t>
        </w:r>
        <w:r w:rsidRPr="00D008B4">
          <w:rPr>
            <w:noProof/>
            <w:webHidden/>
            <w:sz w:val="24"/>
            <w:szCs w:val="24"/>
          </w:rPr>
          <w:fldChar w:fldCharType="end"/>
        </w:r>
      </w:hyperlink>
    </w:p>
    <w:p w:rsidR="00D008B4" w:rsidRPr="00D008B4" w:rsidRDefault="00AF0BDB">
      <w:pPr>
        <w:pStyle w:val="TOC1"/>
        <w:tabs>
          <w:tab w:val="left" w:pos="660"/>
          <w:tab w:val="right" w:leader="dot" w:pos="9019"/>
        </w:tabs>
        <w:rPr>
          <w:rFonts w:asciiTheme="minorHAnsi" w:eastAsiaTheme="minorEastAsia" w:hAnsiTheme="minorHAnsi" w:cstheme="minorBidi"/>
          <w:b w:val="0"/>
          <w:bCs w:val="0"/>
          <w:caps w:val="0"/>
          <w:noProof/>
          <w:sz w:val="24"/>
          <w:szCs w:val="24"/>
        </w:rPr>
      </w:pPr>
      <w:hyperlink w:anchor="_Toc349636417" w:history="1">
        <w:r w:rsidR="00D008B4" w:rsidRPr="00D008B4">
          <w:rPr>
            <w:rStyle w:val="Hyperlink"/>
            <w:rFonts w:eastAsia="Times New Roman"/>
            <w:noProof/>
            <w:sz w:val="24"/>
            <w:szCs w:val="24"/>
            <w:lang w:val="en-GB"/>
          </w:rPr>
          <w:t>3.0</w:t>
        </w:r>
        <w:r w:rsidR="00D008B4" w:rsidRPr="00D008B4">
          <w:rPr>
            <w:rFonts w:asciiTheme="minorHAnsi" w:eastAsiaTheme="minorEastAsia" w:hAnsiTheme="minorHAnsi" w:cstheme="minorBidi"/>
            <w:b w:val="0"/>
            <w:bCs w:val="0"/>
            <w:caps w:val="0"/>
            <w:noProof/>
            <w:sz w:val="24"/>
            <w:szCs w:val="24"/>
          </w:rPr>
          <w:tab/>
        </w:r>
        <w:r w:rsidR="00D008B4" w:rsidRPr="00D008B4">
          <w:rPr>
            <w:rStyle w:val="Hyperlink"/>
            <w:rFonts w:eastAsia="Times New Roman"/>
            <w:noProof/>
            <w:sz w:val="24"/>
            <w:szCs w:val="24"/>
            <w:lang w:val="en-GB"/>
          </w:rPr>
          <w:t>METHODOLOGY</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_Toc349636417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7</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8" w:history="1">
        <w:r w:rsidR="00D008B4" w:rsidRPr="00D008B4">
          <w:rPr>
            <w:rStyle w:val="Hyperlink"/>
            <w:rFonts w:eastAsia="Times New Roman"/>
            <w:noProof/>
            <w:sz w:val="24"/>
            <w:szCs w:val="24"/>
            <w:lang w:val="en-GB"/>
          </w:rPr>
          <w:t>3.1</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Variables of the Model</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_Toc349636418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7</w:t>
        </w:r>
        <w:r w:rsidRPr="00D008B4">
          <w:rPr>
            <w:noProof/>
            <w:webHidden/>
            <w:sz w:val="24"/>
            <w:szCs w:val="24"/>
          </w:rPr>
          <w:fldChar w:fldCharType="end"/>
        </w:r>
      </w:hyperlink>
    </w:p>
    <w:p w:rsidR="00D008B4" w:rsidRPr="00D008B4" w:rsidRDefault="00AF0BDB">
      <w:pPr>
        <w:pStyle w:val="TOC2"/>
        <w:tabs>
          <w:tab w:val="left" w:pos="880"/>
          <w:tab w:val="right" w:leader="dot" w:pos="9019"/>
        </w:tabs>
        <w:rPr>
          <w:rFonts w:asciiTheme="minorHAnsi" w:eastAsiaTheme="minorEastAsia" w:hAnsiTheme="minorHAnsi" w:cstheme="minorBidi"/>
          <w:smallCaps w:val="0"/>
          <w:noProof/>
          <w:sz w:val="24"/>
          <w:szCs w:val="24"/>
        </w:rPr>
      </w:pPr>
      <w:hyperlink w:anchor="_Toc349636419" w:history="1">
        <w:r w:rsidR="00D008B4" w:rsidRPr="00D008B4">
          <w:rPr>
            <w:rStyle w:val="Hyperlink"/>
            <w:rFonts w:eastAsia="Times New Roman"/>
            <w:noProof/>
            <w:sz w:val="24"/>
            <w:szCs w:val="24"/>
            <w:lang w:val="en-GB"/>
          </w:rPr>
          <w:t>3.2</w:t>
        </w:r>
        <w:r w:rsidR="00D008B4" w:rsidRPr="00D008B4">
          <w:rPr>
            <w:rFonts w:asciiTheme="minorHAnsi" w:eastAsiaTheme="minorEastAsia" w:hAnsiTheme="minorHAnsi" w:cstheme="minorBidi"/>
            <w:smallCaps w:val="0"/>
            <w:noProof/>
            <w:sz w:val="24"/>
            <w:szCs w:val="24"/>
          </w:rPr>
          <w:tab/>
        </w:r>
        <w:r w:rsidR="00D008B4" w:rsidRPr="00D008B4">
          <w:rPr>
            <w:rStyle w:val="Hyperlink"/>
            <w:rFonts w:eastAsia="Times New Roman"/>
            <w:noProof/>
            <w:sz w:val="24"/>
            <w:szCs w:val="24"/>
            <w:lang w:val="en-GB"/>
          </w:rPr>
          <w:t>Mathematical Form of the Model</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_Toc349636419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8</w:t>
        </w:r>
        <w:r w:rsidRPr="00D008B4">
          <w:rPr>
            <w:noProof/>
            <w:webHidden/>
            <w:sz w:val="24"/>
            <w:szCs w:val="24"/>
          </w:rPr>
          <w:fldChar w:fldCharType="end"/>
        </w:r>
      </w:hyperlink>
    </w:p>
    <w:p w:rsidR="00D008B4" w:rsidRPr="00D008B4" w:rsidRDefault="00AF0BDB">
      <w:pPr>
        <w:pStyle w:val="TOC1"/>
        <w:tabs>
          <w:tab w:val="left" w:pos="660"/>
          <w:tab w:val="right" w:leader="dot" w:pos="9019"/>
        </w:tabs>
        <w:rPr>
          <w:rFonts w:asciiTheme="minorHAnsi" w:eastAsiaTheme="minorEastAsia" w:hAnsiTheme="minorHAnsi" w:cstheme="minorBidi"/>
          <w:b w:val="0"/>
          <w:bCs w:val="0"/>
          <w:caps w:val="0"/>
          <w:noProof/>
          <w:sz w:val="24"/>
          <w:szCs w:val="24"/>
        </w:rPr>
      </w:pPr>
      <w:hyperlink w:anchor="_Toc349636420" w:history="1">
        <w:r w:rsidR="00D008B4" w:rsidRPr="00D008B4">
          <w:rPr>
            <w:rStyle w:val="Hyperlink"/>
            <w:rFonts w:eastAsia="Times New Roman"/>
            <w:noProof/>
            <w:sz w:val="24"/>
            <w:szCs w:val="24"/>
            <w:lang w:val="en-GB"/>
          </w:rPr>
          <w:t>4.0</w:t>
        </w:r>
        <w:r w:rsidR="00D008B4" w:rsidRPr="00D008B4">
          <w:rPr>
            <w:rFonts w:asciiTheme="minorHAnsi" w:eastAsiaTheme="minorEastAsia" w:hAnsiTheme="minorHAnsi" w:cstheme="minorBidi"/>
            <w:b w:val="0"/>
            <w:bCs w:val="0"/>
            <w:caps w:val="0"/>
            <w:noProof/>
            <w:sz w:val="24"/>
            <w:szCs w:val="24"/>
          </w:rPr>
          <w:tab/>
        </w:r>
        <w:r w:rsidR="00D008B4" w:rsidRPr="00D008B4">
          <w:rPr>
            <w:rStyle w:val="Hyperlink"/>
            <w:rFonts w:eastAsia="Times New Roman"/>
            <w:noProof/>
            <w:sz w:val="24"/>
            <w:szCs w:val="24"/>
            <w:lang w:val="en-GB"/>
          </w:rPr>
          <w:t>DESCRIPTION OF THE DATA SET</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_Toc349636420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9</w:t>
        </w:r>
        <w:r w:rsidRPr="00D008B4">
          <w:rPr>
            <w:noProof/>
            <w:webHidden/>
            <w:sz w:val="24"/>
            <w:szCs w:val="24"/>
          </w:rPr>
          <w:fldChar w:fldCharType="end"/>
        </w:r>
      </w:hyperlink>
    </w:p>
    <w:p w:rsidR="00D008B4" w:rsidRPr="00D008B4" w:rsidRDefault="00AF0BDB">
      <w:pPr>
        <w:pStyle w:val="TOC1"/>
        <w:tabs>
          <w:tab w:val="left" w:pos="660"/>
          <w:tab w:val="right" w:leader="dot" w:pos="9019"/>
        </w:tabs>
        <w:rPr>
          <w:rFonts w:asciiTheme="minorHAnsi" w:eastAsiaTheme="minorEastAsia" w:hAnsiTheme="minorHAnsi" w:cstheme="minorBidi"/>
          <w:b w:val="0"/>
          <w:bCs w:val="0"/>
          <w:caps w:val="0"/>
          <w:noProof/>
          <w:sz w:val="24"/>
          <w:szCs w:val="24"/>
        </w:rPr>
      </w:pPr>
      <w:hyperlink w:anchor="_Toc349636421" w:history="1">
        <w:r w:rsidR="00D008B4" w:rsidRPr="00D008B4">
          <w:rPr>
            <w:rStyle w:val="Hyperlink"/>
            <w:rFonts w:eastAsia="Times New Roman"/>
            <w:noProof/>
            <w:sz w:val="24"/>
            <w:szCs w:val="24"/>
            <w:lang w:val="en-GB"/>
          </w:rPr>
          <w:t>5.0</w:t>
        </w:r>
        <w:r w:rsidR="00D008B4" w:rsidRPr="00D008B4">
          <w:rPr>
            <w:rFonts w:asciiTheme="minorHAnsi" w:eastAsiaTheme="minorEastAsia" w:hAnsiTheme="minorHAnsi" w:cstheme="minorBidi"/>
            <w:b w:val="0"/>
            <w:bCs w:val="0"/>
            <w:caps w:val="0"/>
            <w:noProof/>
            <w:sz w:val="24"/>
            <w:szCs w:val="24"/>
          </w:rPr>
          <w:tab/>
        </w:r>
        <w:r w:rsidR="00D008B4" w:rsidRPr="00D008B4">
          <w:rPr>
            <w:rStyle w:val="Hyperlink"/>
            <w:rFonts w:eastAsia="Times New Roman"/>
            <w:noProof/>
            <w:sz w:val="24"/>
            <w:szCs w:val="24"/>
            <w:lang w:val="en-GB"/>
          </w:rPr>
          <w:t>ESTIMATION RESULTS</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_Toc349636421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12</w:t>
        </w:r>
        <w:r w:rsidRPr="00D008B4">
          <w:rPr>
            <w:noProof/>
            <w:webHidden/>
            <w:sz w:val="24"/>
            <w:szCs w:val="24"/>
          </w:rPr>
          <w:fldChar w:fldCharType="end"/>
        </w:r>
      </w:hyperlink>
    </w:p>
    <w:p w:rsidR="00D008B4" w:rsidRPr="00D008B4" w:rsidRDefault="00AF0BDB">
      <w:pPr>
        <w:pStyle w:val="TOC1"/>
        <w:tabs>
          <w:tab w:val="left" w:pos="660"/>
          <w:tab w:val="right" w:leader="dot" w:pos="9019"/>
        </w:tabs>
        <w:rPr>
          <w:rFonts w:asciiTheme="minorHAnsi" w:eastAsiaTheme="minorEastAsia" w:hAnsiTheme="minorHAnsi" w:cstheme="minorBidi"/>
          <w:b w:val="0"/>
          <w:bCs w:val="0"/>
          <w:caps w:val="0"/>
          <w:noProof/>
          <w:sz w:val="24"/>
          <w:szCs w:val="24"/>
        </w:rPr>
      </w:pPr>
      <w:hyperlink w:anchor="_Toc349636422" w:history="1">
        <w:r w:rsidR="00D008B4" w:rsidRPr="00D008B4">
          <w:rPr>
            <w:rStyle w:val="Hyperlink"/>
            <w:rFonts w:eastAsia="Times New Roman"/>
            <w:noProof/>
            <w:sz w:val="24"/>
            <w:szCs w:val="24"/>
            <w:lang w:val="en-GB"/>
          </w:rPr>
          <w:t>6.0</w:t>
        </w:r>
        <w:r w:rsidR="00D008B4" w:rsidRPr="00D008B4">
          <w:rPr>
            <w:rFonts w:asciiTheme="minorHAnsi" w:eastAsiaTheme="minorEastAsia" w:hAnsiTheme="minorHAnsi" w:cstheme="minorBidi"/>
            <w:b w:val="0"/>
            <w:bCs w:val="0"/>
            <w:caps w:val="0"/>
            <w:noProof/>
            <w:sz w:val="24"/>
            <w:szCs w:val="24"/>
          </w:rPr>
          <w:tab/>
        </w:r>
        <w:r w:rsidR="00D008B4" w:rsidRPr="00D008B4">
          <w:rPr>
            <w:rStyle w:val="Hyperlink"/>
            <w:rFonts w:eastAsia="Times New Roman"/>
            <w:noProof/>
            <w:sz w:val="24"/>
            <w:szCs w:val="24"/>
            <w:lang w:val="en-GB"/>
          </w:rPr>
          <w:t>CONCLUSION</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_Toc349636422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15</w:t>
        </w:r>
        <w:r w:rsidRPr="00D008B4">
          <w:rPr>
            <w:noProof/>
            <w:webHidden/>
            <w:sz w:val="24"/>
            <w:szCs w:val="24"/>
          </w:rPr>
          <w:fldChar w:fldCharType="end"/>
        </w:r>
      </w:hyperlink>
    </w:p>
    <w:p w:rsidR="00D008B4" w:rsidRPr="00D008B4" w:rsidRDefault="00AF0BDB">
      <w:pPr>
        <w:pStyle w:val="TOC1"/>
        <w:tabs>
          <w:tab w:val="right" w:leader="dot" w:pos="9019"/>
        </w:tabs>
        <w:rPr>
          <w:rFonts w:asciiTheme="minorHAnsi" w:eastAsiaTheme="minorEastAsia" w:hAnsiTheme="minorHAnsi" w:cstheme="minorBidi"/>
          <w:b w:val="0"/>
          <w:bCs w:val="0"/>
          <w:caps w:val="0"/>
          <w:noProof/>
          <w:sz w:val="24"/>
          <w:szCs w:val="24"/>
        </w:rPr>
      </w:pPr>
      <w:hyperlink w:anchor="_Toc349636423" w:history="1">
        <w:r w:rsidR="00D008B4" w:rsidRPr="00D008B4">
          <w:rPr>
            <w:rStyle w:val="Hyperlink"/>
            <w:rFonts w:eastAsia="Times New Roman"/>
            <w:noProof/>
            <w:sz w:val="24"/>
            <w:szCs w:val="24"/>
            <w:lang w:val="en-GB"/>
          </w:rPr>
          <w:t>REFERENCES</w:t>
        </w:r>
        <w:r w:rsidR="00D008B4" w:rsidRPr="00D008B4">
          <w:rPr>
            <w:noProof/>
            <w:webHidden/>
            <w:sz w:val="24"/>
            <w:szCs w:val="24"/>
          </w:rPr>
          <w:tab/>
        </w:r>
        <w:r w:rsidRPr="00D008B4">
          <w:rPr>
            <w:noProof/>
            <w:webHidden/>
            <w:sz w:val="24"/>
            <w:szCs w:val="24"/>
          </w:rPr>
          <w:fldChar w:fldCharType="begin"/>
        </w:r>
        <w:r w:rsidR="00D008B4" w:rsidRPr="00D008B4">
          <w:rPr>
            <w:noProof/>
            <w:webHidden/>
            <w:sz w:val="24"/>
            <w:szCs w:val="24"/>
          </w:rPr>
          <w:instrText xml:space="preserve"> PAGEREF _Toc349636423 \h </w:instrText>
        </w:r>
        <w:r w:rsidRPr="00D008B4">
          <w:rPr>
            <w:noProof/>
            <w:webHidden/>
            <w:sz w:val="24"/>
            <w:szCs w:val="24"/>
          </w:rPr>
        </w:r>
        <w:r w:rsidRPr="00D008B4">
          <w:rPr>
            <w:noProof/>
            <w:webHidden/>
            <w:sz w:val="24"/>
            <w:szCs w:val="24"/>
          </w:rPr>
          <w:fldChar w:fldCharType="separate"/>
        </w:r>
        <w:r w:rsidR="00D008B4" w:rsidRPr="00D008B4">
          <w:rPr>
            <w:noProof/>
            <w:webHidden/>
            <w:sz w:val="24"/>
            <w:szCs w:val="24"/>
          </w:rPr>
          <w:t>17</w:t>
        </w:r>
        <w:r w:rsidRPr="00D008B4">
          <w:rPr>
            <w:noProof/>
            <w:webHidden/>
            <w:sz w:val="24"/>
            <w:szCs w:val="24"/>
          </w:rPr>
          <w:fldChar w:fldCharType="end"/>
        </w:r>
      </w:hyperlink>
    </w:p>
    <w:p w:rsidR="000962E9" w:rsidRPr="00D008B4" w:rsidRDefault="00AF0BDB" w:rsidP="000962E9">
      <w:pPr>
        <w:jc w:val="both"/>
        <w:rPr>
          <w:rFonts w:eastAsia="Times New Roman" w:cs="Arial"/>
          <w:b/>
          <w:szCs w:val="24"/>
          <w:lang w:val="en-GB"/>
        </w:rPr>
      </w:pPr>
      <w:r w:rsidRPr="00D008B4">
        <w:rPr>
          <w:rFonts w:eastAsia="Times New Roman" w:cs="Arial"/>
          <w:b/>
          <w:szCs w:val="24"/>
          <w:lang w:val="en-GB"/>
        </w:rPr>
        <w:fldChar w:fldCharType="end"/>
      </w:r>
    </w:p>
    <w:p w:rsidR="000962E9" w:rsidRDefault="000962E9">
      <w:pPr>
        <w:rPr>
          <w:rFonts w:eastAsia="Times New Roman" w:cs="Arial"/>
          <w:b/>
          <w:szCs w:val="24"/>
          <w:lang w:val="en-GB"/>
        </w:rPr>
      </w:pPr>
      <w:r w:rsidRPr="00D008B4">
        <w:rPr>
          <w:rFonts w:eastAsia="Times New Roman" w:cs="Arial"/>
          <w:b/>
          <w:szCs w:val="24"/>
          <w:lang w:val="en-GB"/>
        </w:rPr>
        <w:br w:type="page"/>
      </w:r>
    </w:p>
    <w:p w:rsidR="000962E9" w:rsidRDefault="000962E9" w:rsidP="000962E9">
      <w:pPr>
        <w:jc w:val="both"/>
        <w:rPr>
          <w:rFonts w:eastAsia="Times New Roman" w:cs="Arial"/>
          <w:b/>
          <w:szCs w:val="24"/>
          <w:lang w:val="en-GB"/>
        </w:rPr>
        <w:sectPr w:rsidR="000962E9" w:rsidSect="000962E9">
          <w:pgSz w:w="11909" w:h="16834" w:code="9"/>
          <w:pgMar w:top="1440" w:right="1440" w:bottom="1440" w:left="1440" w:header="720" w:footer="720" w:gutter="0"/>
          <w:pgNumType w:fmt="lowerRoman" w:start="1"/>
          <w:cols w:space="720"/>
          <w:titlePg/>
          <w:docGrid w:linePitch="360"/>
        </w:sectPr>
      </w:pPr>
    </w:p>
    <w:p w:rsidR="00361DC8" w:rsidRPr="000962E9" w:rsidRDefault="00361DC8" w:rsidP="00D008B4">
      <w:pPr>
        <w:pStyle w:val="Heading1"/>
        <w:rPr>
          <w:rFonts w:eastAsia="Times New Roman"/>
          <w:lang w:val="en-GB"/>
        </w:rPr>
      </w:pPr>
      <w:bookmarkStart w:id="13" w:name="_Toc349636409"/>
      <w:r w:rsidRPr="000962E9">
        <w:rPr>
          <w:rFonts w:eastAsia="Times New Roman"/>
          <w:lang w:val="en-GB"/>
        </w:rPr>
        <w:lastRenderedPageBreak/>
        <w:t>1.0</w:t>
      </w:r>
      <w:r w:rsidRPr="000962E9">
        <w:rPr>
          <w:rFonts w:eastAsia="Times New Roman"/>
          <w:lang w:val="en-GB"/>
        </w:rPr>
        <w:tab/>
        <w:t>INTRODUCTION</w:t>
      </w:r>
      <w:bookmarkEnd w:id="4"/>
      <w:bookmarkEnd w:id="13"/>
    </w:p>
    <w:p w:rsidR="000962E9" w:rsidRDefault="000962E9" w:rsidP="000962E9">
      <w:pPr>
        <w:jc w:val="both"/>
        <w:rPr>
          <w:rFonts w:eastAsia="Times New Roman" w:cs="Arial"/>
          <w:b/>
          <w:szCs w:val="24"/>
          <w:lang w:val="en-GB"/>
        </w:rPr>
      </w:pPr>
    </w:p>
    <w:p w:rsidR="00361DC8" w:rsidRPr="000962E9" w:rsidRDefault="00361DC8" w:rsidP="00D008B4">
      <w:pPr>
        <w:pStyle w:val="Heading2"/>
        <w:rPr>
          <w:rFonts w:eastAsia="Times New Roman"/>
          <w:lang w:val="en-GB"/>
        </w:rPr>
      </w:pPr>
      <w:bookmarkStart w:id="14" w:name="_Toc349636410"/>
      <w:r w:rsidRPr="000962E9">
        <w:rPr>
          <w:rFonts w:eastAsia="Times New Roman"/>
          <w:lang w:val="en-GB"/>
        </w:rPr>
        <w:t>1.1</w:t>
      </w:r>
      <w:r w:rsidRPr="000962E9">
        <w:rPr>
          <w:rFonts w:eastAsia="Times New Roman"/>
          <w:lang w:val="en-GB"/>
        </w:rPr>
        <w:tab/>
        <w:t>Background</w:t>
      </w:r>
      <w:bookmarkEnd w:id="14"/>
    </w:p>
    <w:p w:rsidR="000962E9" w:rsidRDefault="000962E9"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In most countries, taxpayers are obliged to self-declare their taxable activities and pay tax accordingly. This phenomenon is what is commonly referred to as a self-assessment tax system.  Fulfilment of this obligation without the intervention of the tax authority is termed taxpayer compliance. Failure by a taxpayer to declare his/her taxable activities is known as non-compliance (Myles 1995). Taxpayer compliance is therefore achieved when the taxpayer files all the required tax information at the required time and when the information filed accurately reports tax liability in accordance with the law applicable at the time the information is filed (Richardson and Sawyer 2001). In case the taxpayer intentionally fails to do the foregoing, such taxpayer is said to have engaged himself/herself in tax evasion.</w:t>
      </w:r>
    </w:p>
    <w:p w:rsidR="000962E9" w:rsidRPr="000962E9" w:rsidRDefault="000962E9"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Filing one’s tax return is far from a simple and straightforward affair. Even where the taxpayer is sufficiently knowledgeable about the tax requirements, filing a tax return is a time consuming exercise. For example in 2011, the US Internal Revenue Service (IRS) estimated that the average American income taxpayer needed a minimum of 23 hours to file his/her return (Schnepper 2012). Given this typical complexity of tax legislation, taxpayers are normally provided with the option of filing a tax return with the assistance of a tax professional. A tax professional, also known as a tax consultant, tax practitioner or tax advisor, tax accountant or simply accountant/auditor, is a person recognised by a tax authority as sufficiently qualified to provide professional services consistent with tax legislation. Such professional services could be in relation to return preparation, tax advice and/or risk advice (Hite </w:t>
      </w:r>
      <w:r w:rsidRPr="000962E9">
        <w:rPr>
          <w:rFonts w:eastAsia="Times New Roman" w:cs="Arial"/>
          <w:iCs/>
          <w:szCs w:val="24"/>
          <w:lang w:val="en-GB"/>
        </w:rPr>
        <w:t>et al</w:t>
      </w:r>
      <w:r w:rsidRPr="000962E9">
        <w:rPr>
          <w:rFonts w:eastAsia="Times New Roman" w:cs="Arial"/>
          <w:i/>
          <w:iCs/>
          <w:szCs w:val="24"/>
          <w:lang w:val="en-GB"/>
        </w:rPr>
        <w:t xml:space="preserve">. </w:t>
      </w:r>
      <w:r w:rsidRPr="000962E9">
        <w:rPr>
          <w:rFonts w:eastAsia="Times New Roman" w:cs="Arial"/>
          <w:szCs w:val="24"/>
          <w:lang w:val="en-GB"/>
        </w:rPr>
        <w:t>2003). For the purpose of this discussion, we will consistently refer to any person, whether natural or otherwise, who is legally allowed to provide any or all of the three types of services to a taxpayer as a tax practitioner. It can thus be argued that the use of a tax practitioner is intended to do away with the non-intentional failure to correctly declare taxable activities i.e. to foster taxpayer compliance.</w:t>
      </w:r>
    </w:p>
    <w:p w:rsidR="00361DC8" w:rsidRPr="000962E9" w:rsidRDefault="00361DC8" w:rsidP="000962E9">
      <w:pPr>
        <w:jc w:val="both"/>
        <w:rPr>
          <w:rFonts w:eastAsia="Times New Roman" w:cs="Arial"/>
          <w:szCs w:val="24"/>
          <w:lang w:val="en-GB"/>
        </w:rPr>
      </w:pPr>
    </w:p>
    <w:p w:rsidR="00361DC8" w:rsidRPr="000962E9" w:rsidRDefault="00361DC8" w:rsidP="00D008B4">
      <w:pPr>
        <w:pStyle w:val="Heading2"/>
        <w:rPr>
          <w:rFonts w:eastAsia="Times New Roman"/>
          <w:lang w:val="en-GB"/>
        </w:rPr>
      </w:pPr>
      <w:bookmarkStart w:id="15" w:name="_Toc349636411"/>
      <w:r w:rsidRPr="000962E9">
        <w:rPr>
          <w:rFonts w:eastAsia="Times New Roman"/>
          <w:lang w:val="en-GB"/>
        </w:rPr>
        <w:t>1.2</w:t>
      </w:r>
      <w:r w:rsidRPr="000962E9">
        <w:rPr>
          <w:rFonts w:eastAsia="Times New Roman"/>
          <w:lang w:val="en-GB"/>
        </w:rPr>
        <w:tab/>
        <w:t>Oversight Framework for Tax Practitioners</w:t>
      </w:r>
      <w:bookmarkEnd w:id="15"/>
    </w:p>
    <w:p w:rsidR="000962E9" w:rsidRDefault="000962E9"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In their service delivery, tax practitioners invariably perform certain types of duties which include representing taxpayers before a tax administration concerning taxpayers’ rights, privileges or liabilities and preparing documents to be filed before the tax authority. In order to ensure that tax practitioners are capable of playing the role expected of them, their conduct is typically regulated under the law in different countries. In South Africa for example, registration with the South Africa Revenue </w:t>
      </w:r>
      <w:r w:rsidRPr="000962E9">
        <w:rPr>
          <w:rFonts w:eastAsia="Times New Roman" w:cs="Arial"/>
          <w:szCs w:val="24"/>
          <w:lang w:val="en-GB"/>
        </w:rPr>
        <w:lastRenderedPageBreak/>
        <w:t>Service</w:t>
      </w:r>
      <w:r w:rsidRPr="000962E9">
        <w:rPr>
          <w:rFonts w:eastAsia="Times New Roman" w:cs="Arial"/>
          <w:szCs w:val="24"/>
          <w:vertAlign w:val="superscript"/>
          <w:lang w:val="en-GB"/>
        </w:rPr>
        <w:footnoteReference w:id="3"/>
      </w:r>
      <w:r w:rsidRPr="000962E9">
        <w:rPr>
          <w:rFonts w:eastAsia="Times New Roman" w:cs="Arial"/>
          <w:szCs w:val="24"/>
          <w:lang w:val="en-GB"/>
        </w:rPr>
        <w:t xml:space="preserve"> is required before any person can provide tax advice, complete tax forms or assist therewith. In the United States, tax practitioners have to be authorised under federal law to practice before the IRS and are subject to specified standards of practice and ethical requirements. In this regard, IRS exercises elaborate oversight functions on tax practitioners. For example in September 2011, IRS unveiled yet another measure to enhance this oversight role on tax practitioners. The measure introduced a new designation for tax practitioners known as Registered Tax Return Preparer. Under the measure, a competency test has been introduced as an additional requirement. Already existing requirements for tax practitioners in the United States include a background check, a tax compliance check and continuing professional education</w:t>
      </w:r>
      <w:r w:rsidRPr="000962E9">
        <w:rPr>
          <w:rFonts w:eastAsia="Times New Roman" w:cs="Arial"/>
          <w:szCs w:val="24"/>
          <w:vertAlign w:val="superscript"/>
          <w:lang w:val="en-GB"/>
        </w:rPr>
        <w:footnoteReference w:id="4"/>
      </w:r>
      <w:r w:rsidRPr="000962E9">
        <w:rPr>
          <w:rFonts w:eastAsia="Times New Roman" w:cs="Arial"/>
          <w:szCs w:val="24"/>
          <w:lang w:val="en-GB"/>
        </w:rPr>
        <w:t xml:space="preserve"> (IRS 2011).</w:t>
      </w:r>
    </w:p>
    <w:p w:rsidR="000962E9" w:rsidRPr="000962E9" w:rsidRDefault="000962E9"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In many other countries including the United Kingdom, Australia, New Zealand, Kenya and Uganda there exists some form of oversight on tax practitioners’ professional conduct similar to what is practised in South Africa and the United States. </w:t>
      </w:r>
    </w:p>
    <w:p w:rsidR="000962E9" w:rsidRPr="000962E9" w:rsidRDefault="000962E9"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In Tanzania, tax legislation provides for approval of tax practitioners on such terms and conditions as prescribed under the relevant regulations. In the case of income taxation, section 134 (1) of the Income Tax Act, Cap. 322 provides that:</w:t>
      </w:r>
    </w:p>
    <w:p w:rsidR="00361DC8" w:rsidRPr="000962E9" w:rsidRDefault="00361DC8" w:rsidP="000962E9">
      <w:pPr>
        <w:ind w:left="720"/>
        <w:jc w:val="both"/>
        <w:rPr>
          <w:rFonts w:eastAsia="Times New Roman" w:cs="Arial"/>
          <w:i/>
          <w:szCs w:val="24"/>
          <w:lang w:val="en-GB"/>
        </w:rPr>
      </w:pPr>
      <w:r w:rsidRPr="000962E9">
        <w:rPr>
          <w:rFonts w:eastAsia="Times New Roman" w:cs="Arial"/>
          <w:i/>
          <w:szCs w:val="24"/>
          <w:lang w:val="en-GB"/>
        </w:rPr>
        <w:t>A person shall not (other than as an employee) in return for a payment, practice or hold out to be an income tax consultant unless the person is an approved tax consultant.</w:t>
      </w:r>
    </w:p>
    <w:p w:rsidR="000962E9" w:rsidRPr="000962E9" w:rsidRDefault="000962E9" w:rsidP="000962E9">
      <w:pPr>
        <w:ind w:left="720"/>
        <w:jc w:val="both"/>
        <w:rPr>
          <w:rFonts w:eastAsia="Times New Roman" w:cs="Arial"/>
          <w:i/>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According to section 134 (2) of the same legislation, an approved tax consultant is:</w:t>
      </w:r>
    </w:p>
    <w:p w:rsidR="00361DC8" w:rsidRPr="000962E9" w:rsidRDefault="00361DC8" w:rsidP="000962E9">
      <w:pPr>
        <w:ind w:left="720"/>
        <w:jc w:val="both"/>
        <w:rPr>
          <w:rFonts w:eastAsia="Times New Roman" w:cs="Arial"/>
          <w:szCs w:val="24"/>
          <w:lang w:val="en-GB"/>
        </w:rPr>
      </w:pPr>
      <w:r w:rsidRPr="000962E9">
        <w:rPr>
          <w:rFonts w:eastAsia="Times New Roman" w:cs="Arial"/>
          <w:i/>
          <w:szCs w:val="24"/>
          <w:lang w:val="en-GB"/>
        </w:rPr>
        <w:t>a person approved by the Commissioner on such terms and conditions as may be prescribed</w:t>
      </w:r>
      <w:r w:rsidRPr="000962E9">
        <w:rPr>
          <w:rFonts w:eastAsia="Times New Roman" w:cs="Arial"/>
          <w:szCs w:val="24"/>
          <w:lang w:val="en-GB"/>
        </w:rPr>
        <w:t xml:space="preserve">. </w:t>
      </w:r>
    </w:p>
    <w:p w:rsidR="000962E9" w:rsidRPr="000962E9" w:rsidRDefault="000962E9" w:rsidP="000962E9">
      <w:pPr>
        <w:ind w:left="720"/>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In the case of value added taxation, section 17 (5) of the Value Added Tax Act, Cap. 148 provides for Mainland Tanzania as follows: </w:t>
      </w:r>
    </w:p>
    <w:p w:rsidR="00361DC8" w:rsidRPr="000962E9" w:rsidRDefault="00361DC8" w:rsidP="000962E9">
      <w:pPr>
        <w:ind w:left="720"/>
        <w:jc w:val="both"/>
        <w:rPr>
          <w:rFonts w:eastAsia="Times New Roman" w:cs="Arial"/>
          <w:i/>
          <w:szCs w:val="24"/>
          <w:lang w:val="en-GB"/>
        </w:rPr>
      </w:pPr>
      <w:r w:rsidRPr="000962E9">
        <w:rPr>
          <w:rFonts w:eastAsia="Times New Roman" w:cs="Arial"/>
          <w:i/>
          <w:szCs w:val="24"/>
          <w:lang w:val="en-GB"/>
        </w:rPr>
        <w:t>No refund in respect of any claim shall be approved unless it is supported by a certificate of genuineness issued by an auditor who has been registered by the National Board of Accountants and Auditors but who is also a tax consultant registered with the Tanzania Revenue Authority.</w:t>
      </w:r>
    </w:p>
    <w:p w:rsidR="00D008B4"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lastRenderedPageBreak/>
        <w:t>Similarly for Zanzibar, section 26A (1) of the Value Added Tax Act, 1998 provides as follows:</w:t>
      </w:r>
    </w:p>
    <w:p w:rsidR="00361DC8" w:rsidRPr="000962E9" w:rsidRDefault="00361DC8" w:rsidP="000962E9">
      <w:pPr>
        <w:ind w:left="720"/>
        <w:jc w:val="both"/>
        <w:rPr>
          <w:rFonts w:eastAsia="Times New Roman" w:cs="Arial"/>
          <w:i/>
          <w:szCs w:val="24"/>
          <w:lang w:val="en-GB"/>
        </w:rPr>
      </w:pPr>
      <w:r w:rsidRPr="000962E9">
        <w:rPr>
          <w:rFonts w:eastAsia="Times New Roman" w:cs="Arial"/>
          <w:i/>
          <w:szCs w:val="24"/>
          <w:lang w:val="en-GB"/>
        </w:rPr>
        <w:t>Notwithstanding the provisions of this Act, a tax credit return of more than one million shillings or its equivalent shall not be lodged with the Commissioner unless it is certified by a Tax Consultant approved by the Commissioner.</w:t>
      </w:r>
    </w:p>
    <w:p w:rsidR="00D008B4"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The provisions of Tanzanian tax law cited above testify to the fact that, like in many other countries, in Tanzania tax practitioners are also regulated by the tax authority.  In fact, there are instances where engagement of the services of a tax practitioner is a prerequisite before the tax authority can process certain kinds of tax returns lodged by taxpayers. </w:t>
      </w:r>
    </w:p>
    <w:p w:rsidR="00361DC8" w:rsidRPr="000962E9" w:rsidRDefault="00361DC8" w:rsidP="000962E9">
      <w:pPr>
        <w:jc w:val="both"/>
        <w:rPr>
          <w:rFonts w:eastAsia="Times New Roman" w:cs="Arial"/>
          <w:szCs w:val="24"/>
          <w:lang w:val="en-GB"/>
        </w:rPr>
      </w:pPr>
    </w:p>
    <w:p w:rsidR="00361DC8" w:rsidRPr="000962E9" w:rsidRDefault="00361DC8" w:rsidP="00D008B4">
      <w:pPr>
        <w:pStyle w:val="Heading2"/>
        <w:rPr>
          <w:rFonts w:eastAsia="Times New Roman"/>
          <w:lang w:val="en-GB"/>
        </w:rPr>
      </w:pPr>
      <w:bookmarkStart w:id="16" w:name="_Toc349636412"/>
      <w:r w:rsidRPr="000962E9">
        <w:rPr>
          <w:rFonts w:eastAsia="Times New Roman"/>
          <w:lang w:val="en-GB"/>
        </w:rPr>
        <w:t>1.3</w:t>
      </w:r>
      <w:r w:rsidRPr="000962E9">
        <w:rPr>
          <w:rFonts w:eastAsia="Times New Roman"/>
          <w:lang w:val="en-GB"/>
        </w:rPr>
        <w:tab/>
        <w:t>Purpose of this Study</w:t>
      </w:r>
      <w:bookmarkEnd w:id="16"/>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Practice shows that tax authorities invariably recognise the complexity of tax requirements and the need for specialised expertise in order to </w:t>
      </w:r>
      <w:r w:rsidR="00D008B4" w:rsidRPr="000962E9">
        <w:rPr>
          <w:rFonts w:eastAsia="Times New Roman" w:cs="Arial"/>
          <w:szCs w:val="24"/>
          <w:lang w:val="en-GB"/>
        </w:rPr>
        <w:t>eradicate the</w:t>
      </w:r>
      <w:r w:rsidRPr="000962E9">
        <w:rPr>
          <w:rFonts w:eastAsia="Times New Roman" w:cs="Arial"/>
          <w:szCs w:val="24"/>
          <w:lang w:val="en-GB"/>
        </w:rPr>
        <w:t xml:space="preserve"> non-intentional failure to correctly declare taxable activities. It has therefore been argued that, by helping taxpayers to interpret tax requirements, tax practitioners do indeed play an important role in tax compliance (for example, Hite et al 2003). The presumption underlying the use of tax practitioners is that, by helping taxpayers to interpret the complex tax requirements, tax practitioners will promote voluntary taxpayer compliance. This study is motivated by, on the one hand, the conflicting empirical findings on the direction of the causal relationship between taxpayer compliance and utilisation of tax practitioners, and on the other, lack of empirical analysis in a developing country context. The key question that this work addresses is therefore whether or not tax practitioner utilisation in Tanzania has a positive relationship with taxpayer compliance. </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Contextualisation of the study in the Tanzanian environment is intended to address the fact that, virtually all the studies carried out so far on this question have originated in developed economies, with the overwhelming majority having been carried out in North America. The likelihood of tax practitioner cultural differences across countries, let alone between developed and developing countries, provides ample justification for a similar study in the context of a developing economy such as Tanzania. </w:t>
      </w:r>
    </w:p>
    <w:p w:rsidR="00361DC8" w:rsidRPr="000962E9" w:rsidRDefault="00361DC8" w:rsidP="000962E9">
      <w:pPr>
        <w:jc w:val="both"/>
        <w:rPr>
          <w:rFonts w:eastAsia="Times New Roman" w:cs="Arial"/>
          <w:szCs w:val="24"/>
          <w:lang w:val="en-GB"/>
        </w:rPr>
      </w:pPr>
    </w:p>
    <w:p w:rsidR="00C7527E" w:rsidRDefault="00C7527E">
      <w:pPr>
        <w:spacing w:after="200" w:line="276" w:lineRule="auto"/>
        <w:rPr>
          <w:rFonts w:eastAsia="Times New Roman" w:cstheme="majorBidi"/>
          <w:b/>
          <w:bCs/>
          <w:caps/>
          <w:color w:val="1F497D" w:themeColor="text2"/>
          <w:sz w:val="32"/>
          <w:szCs w:val="28"/>
          <w:lang w:val="en-GB"/>
        </w:rPr>
      </w:pPr>
      <w:bookmarkStart w:id="17" w:name="_Toc349636413"/>
      <w:r>
        <w:rPr>
          <w:rFonts w:eastAsia="Times New Roman"/>
          <w:lang w:val="en-GB"/>
        </w:rPr>
        <w:br w:type="page"/>
      </w:r>
    </w:p>
    <w:p w:rsidR="00361DC8" w:rsidRPr="000962E9" w:rsidRDefault="00361DC8" w:rsidP="00D008B4">
      <w:pPr>
        <w:pStyle w:val="Heading1"/>
        <w:rPr>
          <w:rFonts w:eastAsia="Times New Roman"/>
          <w:lang w:val="en-GB"/>
        </w:rPr>
      </w:pPr>
      <w:r w:rsidRPr="000962E9">
        <w:rPr>
          <w:rFonts w:eastAsia="Times New Roman"/>
          <w:lang w:val="en-GB"/>
        </w:rPr>
        <w:lastRenderedPageBreak/>
        <w:t>2.0</w:t>
      </w:r>
      <w:r w:rsidRPr="000962E9">
        <w:rPr>
          <w:rFonts w:eastAsia="Times New Roman"/>
          <w:lang w:val="en-GB"/>
        </w:rPr>
        <w:tab/>
        <w:t>REVIEW OF THE TAX PRACTITIONER LITERATURE</w:t>
      </w:r>
      <w:bookmarkEnd w:id="17"/>
    </w:p>
    <w:p w:rsidR="00D008B4" w:rsidRDefault="00D008B4" w:rsidP="000962E9">
      <w:pPr>
        <w:jc w:val="both"/>
        <w:rPr>
          <w:rFonts w:eastAsia="Times New Roman" w:cs="Arial"/>
          <w:b/>
          <w:szCs w:val="24"/>
          <w:lang w:val="en-GB"/>
        </w:rPr>
      </w:pPr>
    </w:p>
    <w:p w:rsidR="00361DC8" w:rsidRPr="000962E9" w:rsidRDefault="00361DC8" w:rsidP="00D008B4">
      <w:pPr>
        <w:pStyle w:val="Heading2"/>
        <w:rPr>
          <w:rFonts w:eastAsia="Times New Roman"/>
          <w:lang w:val="en-GB"/>
        </w:rPr>
      </w:pPr>
      <w:bookmarkStart w:id="18" w:name="_Toc349636414"/>
      <w:r w:rsidRPr="000962E9">
        <w:rPr>
          <w:rFonts w:eastAsia="Times New Roman"/>
          <w:lang w:val="en-GB"/>
        </w:rPr>
        <w:t>2.1</w:t>
      </w:r>
      <w:r w:rsidRPr="000962E9">
        <w:rPr>
          <w:rFonts w:eastAsia="Times New Roman"/>
          <w:lang w:val="en-GB"/>
        </w:rPr>
        <w:tab/>
        <w:t>Variation in the Focus of Tax Practitioner Studies</w:t>
      </w:r>
      <w:bookmarkEnd w:id="18"/>
    </w:p>
    <w:p w:rsidR="00D008B4"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Considerable empirical work has been done on the phenomenon of tax practitioner utilisation by taxpayers. Not all have looked into how tax practitioners influence taxpayer compliance. Some have examined the role of tax practitioners in reducing compliance costs such as taxpayer uncertainty (Scotchmer 1989a, 1989b and Beck et al 1989) whereas others have focussed on time costs associated with return preparation (Reinganum and Wilde 1991). Other aspects of the tax practitioner utilisation phenomenon that have been studied are listed in Erard (1993) and they include: usefulness of tax practitioners in uncovering legal ways to reduce tax liabilities; exploitation, by tax practitioners, of ambiguous provisions in the tax regime to reduce taxpayer penalties for non-compliance; factors that influence the decision to engage a tax practitioner; and the influence of tax preparation mode on tax liabilities. </w:t>
      </w:r>
    </w:p>
    <w:p w:rsidR="00361DC8" w:rsidRPr="000962E9" w:rsidRDefault="00361DC8" w:rsidP="000962E9">
      <w:pPr>
        <w:jc w:val="both"/>
        <w:rPr>
          <w:rFonts w:eastAsia="Times New Roman" w:cs="Arial"/>
          <w:szCs w:val="24"/>
          <w:lang w:val="en-GB"/>
        </w:rPr>
      </w:pPr>
    </w:p>
    <w:p w:rsidR="00361DC8" w:rsidRPr="000962E9" w:rsidRDefault="00842EAC" w:rsidP="00D008B4">
      <w:pPr>
        <w:pStyle w:val="Heading2"/>
        <w:rPr>
          <w:rFonts w:eastAsia="Times New Roman"/>
          <w:lang w:val="en-GB"/>
        </w:rPr>
      </w:pPr>
      <w:bookmarkStart w:id="19" w:name="_Toc349636415"/>
      <w:r w:rsidRPr="000962E9">
        <w:rPr>
          <w:rFonts w:eastAsia="Times New Roman"/>
          <w:lang w:val="en-GB"/>
        </w:rPr>
        <w:t>2.2</w:t>
      </w:r>
      <w:r w:rsidRPr="000962E9">
        <w:rPr>
          <w:rFonts w:eastAsia="Times New Roman"/>
          <w:lang w:val="en-GB"/>
        </w:rPr>
        <w:tab/>
      </w:r>
      <w:r w:rsidR="00361DC8" w:rsidRPr="000962E9">
        <w:rPr>
          <w:rFonts w:eastAsia="Times New Roman"/>
          <w:lang w:val="en-GB"/>
        </w:rPr>
        <w:t>Tax Practitioner Influence on Taxpayer Compliance</w:t>
      </w:r>
      <w:bookmarkEnd w:id="19"/>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Taxpayers need a minimum level of tax knowledge in order to comply with their statutory obligations under the tax system. Moreover, fulfilling one’s tax obligations is a time-consuming exercise. Therefore, either as a result of inadequate knowledge of the tax regime or in the quest for efficiency, taxpayers invariably engage the services of tax practitioners. It could therefore be argued that tax practitioners reduce compliance costs by minimising legal uncertainties, time and anxiety costs. However, research to date is inconsistent or at least unclear in helping us understand the role that practitioners play in tax compliance (for example Murphy 2004). In providing the above services, tax practitioners might be:</w:t>
      </w:r>
    </w:p>
    <w:p w:rsidR="00361DC8" w:rsidRDefault="00361DC8" w:rsidP="000962E9">
      <w:pPr>
        <w:ind w:left="720"/>
        <w:jc w:val="both"/>
        <w:rPr>
          <w:rFonts w:eastAsia="Times New Roman" w:cs="Arial"/>
          <w:szCs w:val="24"/>
          <w:lang w:val="en-GB"/>
        </w:rPr>
      </w:pPr>
      <w:r w:rsidRPr="000962E9">
        <w:rPr>
          <w:rFonts w:eastAsia="Times New Roman" w:cs="Arial"/>
          <w:szCs w:val="24"/>
          <w:lang w:val="en-GB"/>
        </w:rPr>
        <w:t>guardians against unequivocal breaches of the legal code and, on the other hand, exploiters of legally ambiguous features of the tax code to the advantage of the taxpayers (Torgler 2003).</w:t>
      </w:r>
    </w:p>
    <w:p w:rsidR="00D008B4" w:rsidRPr="000962E9" w:rsidRDefault="00D008B4" w:rsidP="000962E9">
      <w:pPr>
        <w:ind w:left="720"/>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As noted by Murphy (2004), existing empirical findings do indeed support both conflicting roles. On the positive side, some studies have shown that tax practitioners foster compliance by giving ‘conservative’ advice to their clients thereby acting as tax law enforcers (for example Duncan et al, 1989, Pei et al 1992 and Erard 1993). On the negative side though, there are several empirical studies that have suggested exactly the opposite i.e. tax practitioners are ‘aggressive’ in exploiting loopholes or ambiguities in the tax regime thereby encouraging non-compliance. In this regard, a good number of such studies have found evidence to the effect that the average level of non-compliance is higher for returns prepared with the assistance of tax </w:t>
      </w:r>
      <w:r w:rsidRPr="000962E9">
        <w:rPr>
          <w:rFonts w:eastAsia="Times New Roman" w:cs="Arial"/>
          <w:szCs w:val="24"/>
          <w:lang w:val="en-GB"/>
        </w:rPr>
        <w:lastRenderedPageBreak/>
        <w:t xml:space="preserve">practitioners than for self-prepared tax returns (for example Kaplan et al 1988, Scotchmer 1989a, Ayres et al 1989, Erard 1990 and Hite and Hasseldine 2003). </w:t>
      </w:r>
    </w:p>
    <w:p w:rsidR="00361DC8" w:rsidRPr="000962E9" w:rsidRDefault="00361DC8" w:rsidP="000962E9">
      <w:pPr>
        <w:jc w:val="both"/>
        <w:rPr>
          <w:rFonts w:eastAsia="Times New Roman" w:cs="Arial"/>
          <w:szCs w:val="24"/>
          <w:lang w:val="en-GB"/>
        </w:rPr>
      </w:pPr>
    </w:p>
    <w:p w:rsidR="00361DC8" w:rsidRPr="000962E9" w:rsidRDefault="00842EAC" w:rsidP="00D008B4">
      <w:pPr>
        <w:pStyle w:val="Heading2"/>
        <w:rPr>
          <w:rFonts w:eastAsia="Times New Roman"/>
          <w:lang w:val="en-GB"/>
        </w:rPr>
      </w:pPr>
      <w:bookmarkStart w:id="20" w:name="_Toc349636416"/>
      <w:r w:rsidRPr="000962E9">
        <w:rPr>
          <w:rFonts w:eastAsia="Times New Roman"/>
          <w:lang w:val="en-GB"/>
        </w:rPr>
        <w:t>2.3</w:t>
      </w:r>
      <w:r w:rsidRPr="000962E9">
        <w:rPr>
          <w:rFonts w:eastAsia="Times New Roman"/>
          <w:lang w:val="en-GB"/>
        </w:rPr>
        <w:tab/>
      </w:r>
      <w:r w:rsidR="00361DC8" w:rsidRPr="000962E9">
        <w:rPr>
          <w:rFonts w:eastAsia="Times New Roman"/>
          <w:lang w:val="en-GB"/>
        </w:rPr>
        <w:t>Conflicting Empirical Findings: An Explanation</w:t>
      </w:r>
      <w:bookmarkEnd w:id="20"/>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In an attempt to explain the existing empirical findings on the relationship between the use of tax practitioners and taxpayer compliance, Klepper, et al (1991) suggest that tax practitioners behave aggressively or conservatively depending on the ambiguity of the tax regime or lack of it. Using an econometric model, they demonstrate that tax practitioners foster taxpayer compliance by providing conservative advice where tax requirements are ‘clear and unequivocal’. Alternatively, tax practitioners hamper taxpayer compliance by providing aggressive advice where the tax law is ambiguous. This same position is supported in earlier </w:t>
      </w:r>
      <w:r w:rsidR="00656E70" w:rsidRPr="000962E9">
        <w:rPr>
          <w:rFonts w:eastAsia="Times New Roman" w:cs="Arial"/>
          <w:szCs w:val="24"/>
          <w:lang w:val="en-GB"/>
        </w:rPr>
        <w:t>work that</w:t>
      </w:r>
      <w:r w:rsidRPr="000962E9">
        <w:rPr>
          <w:rFonts w:eastAsia="Times New Roman" w:cs="Arial"/>
          <w:szCs w:val="24"/>
          <w:lang w:val="en-GB"/>
        </w:rPr>
        <w:t xml:space="preserve"> used data from the IRS Taxpayer Compliance Measurement Programme and an index of legal ambiguity based on Revenue Rulings (Klepper and Nagin 1989).</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On their part, Milliron and Toy (1988) argue that the decision by a tax practitioner to offer aggressive or conservative advice rests on such practitioner’s assessment of his/her own vulnerability - probability of sanction by the tax authority and/or his/her profession, and potential loss of customers.  To Erard (1993), the inconsistency in empirical findings arises from the particular type of tax practitioner utilised. The work by Erard (ibid) builds on previous works by allowing for three different types of tax practitioners on the assumption that both tax preparation mode and tax compliance decisions are influenced by tax practitioner characteristics.  Therefore Erard (ibid) examined three tax preparation modes for the US federal income tax returns, namely - returns prepared by Certified Public Accountants (CPAs) or lawyers, returns prepared by non-CPAs or non-lawyers and self-prepared tax returns. On the basis of this argument, Erard (ibid) undertakes an analysis of tax practitioner influence on taxpayer compliance jointly with other independent variables such as audit rate, marginal tax rate, prior audit experience and type of income. Other independent variables included in Erard’s model are marital status and age.  Erard (ibid) concludes that the use of tax practitioners, especially those who are Certified Public Accountants or lawyers, is associated with a higher level of taxpayer non-compliance.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In his analysis of the reporting of sole proprietor income and the proper claiming of the Earned Income Tax Credit (EITC) in the United States, Book (2008) renders support to the view that tax practitioners do, in fact, promote non-compliance. The analysis notes that despite sole proprietor income and EITC being governed by ‘</w:t>
      </w:r>
      <w:r w:rsidRPr="000962E9">
        <w:rPr>
          <w:rFonts w:eastAsia="Times New Roman" w:cs="Arial"/>
          <w:i/>
          <w:szCs w:val="24"/>
          <w:lang w:val="en-GB"/>
        </w:rPr>
        <w:t xml:space="preserve">fairly straight forward rules’, </w:t>
      </w:r>
      <w:r w:rsidRPr="000962E9">
        <w:rPr>
          <w:rFonts w:eastAsia="Times New Roman" w:cs="Arial"/>
          <w:szCs w:val="24"/>
          <w:lang w:val="en-GB"/>
        </w:rPr>
        <w:t xml:space="preserve">as high as 61 per cent of sole proprietor  returns filed in 2003 had understated taxable income. Disturbingly, 73 per cent of the returns in question </w:t>
      </w:r>
      <w:r w:rsidRPr="000962E9">
        <w:rPr>
          <w:rFonts w:eastAsia="Times New Roman" w:cs="Arial"/>
          <w:szCs w:val="24"/>
          <w:lang w:val="en-GB"/>
        </w:rPr>
        <w:lastRenderedPageBreak/>
        <w:t xml:space="preserve">had been prepared with the assistance of tax practitioners. Similarly, 57 per cent of erroneous EITC claims in 1999 were found to be attributable to returns that had been prepared with the assistance of tax practitioners. </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In this work, we borrow from the approach by Erard (1993) to undertake an econometric modelling of the role of tax practitioners in taxpayer compliance taking explicitly into account two other independent variables, namely level of income and level of tax morale. Although the choice of these two additional independent variables is motivated by the existence of data that was collected together with those on tax practitioner utilisation, the two additional variables have been argued in the literature to be important in explaining taxpayer compliance behaviour (Mushi 2003, Torgler 2003, Semboja and Fjeldstad 1998).</w:t>
      </w:r>
    </w:p>
    <w:p w:rsidR="00D008B4" w:rsidRDefault="00D008B4">
      <w:pPr>
        <w:rPr>
          <w:rFonts w:eastAsia="Times New Roman" w:cs="Arial"/>
          <w:b/>
          <w:szCs w:val="24"/>
          <w:lang w:val="en-GB"/>
        </w:rPr>
      </w:pPr>
      <w:r>
        <w:rPr>
          <w:rFonts w:eastAsia="Times New Roman" w:cs="Arial"/>
          <w:b/>
          <w:szCs w:val="24"/>
          <w:lang w:val="en-GB"/>
        </w:rPr>
        <w:br w:type="page"/>
      </w:r>
    </w:p>
    <w:p w:rsidR="00361DC8" w:rsidRPr="000962E9" w:rsidRDefault="00842EAC" w:rsidP="00D008B4">
      <w:pPr>
        <w:pStyle w:val="Heading1"/>
        <w:rPr>
          <w:rFonts w:eastAsia="Times New Roman"/>
          <w:lang w:val="en-GB"/>
        </w:rPr>
      </w:pPr>
      <w:bookmarkStart w:id="21" w:name="_Toc349636417"/>
      <w:r w:rsidRPr="000962E9">
        <w:rPr>
          <w:rFonts w:eastAsia="Times New Roman"/>
          <w:lang w:val="en-GB"/>
        </w:rPr>
        <w:lastRenderedPageBreak/>
        <w:t>3.0</w:t>
      </w:r>
      <w:r w:rsidRPr="000962E9">
        <w:rPr>
          <w:rFonts w:eastAsia="Times New Roman"/>
          <w:lang w:val="en-GB"/>
        </w:rPr>
        <w:tab/>
      </w:r>
      <w:r w:rsidR="00361DC8" w:rsidRPr="000962E9">
        <w:rPr>
          <w:rFonts w:eastAsia="Times New Roman"/>
          <w:lang w:val="en-GB"/>
        </w:rPr>
        <w:t>METHODOLOGY</w:t>
      </w:r>
      <w:bookmarkEnd w:id="21"/>
    </w:p>
    <w:p w:rsidR="00D008B4" w:rsidRDefault="00D008B4" w:rsidP="000962E9">
      <w:pPr>
        <w:jc w:val="both"/>
        <w:rPr>
          <w:rFonts w:eastAsia="Times New Roman" w:cs="Arial"/>
          <w:b/>
          <w:szCs w:val="24"/>
          <w:lang w:val="en-GB"/>
        </w:rPr>
      </w:pPr>
    </w:p>
    <w:p w:rsidR="00361DC8" w:rsidRPr="000962E9" w:rsidRDefault="00842EAC" w:rsidP="00D008B4">
      <w:pPr>
        <w:pStyle w:val="Heading2"/>
        <w:rPr>
          <w:rFonts w:eastAsia="Times New Roman"/>
          <w:lang w:val="en-GB"/>
        </w:rPr>
      </w:pPr>
      <w:bookmarkStart w:id="22" w:name="_Toc349636418"/>
      <w:r w:rsidRPr="000962E9">
        <w:rPr>
          <w:rFonts w:eastAsia="Times New Roman"/>
          <w:lang w:val="en-GB"/>
        </w:rPr>
        <w:t>3.1</w:t>
      </w:r>
      <w:r w:rsidRPr="000962E9">
        <w:rPr>
          <w:rFonts w:eastAsia="Times New Roman"/>
          <w:lang w:val="en-GB"/>
        </w:rPr>
        <w:tab/>
      </w:r>
      <w:r w:rsidR="00361DC8" w:rsidRPr="000962E9">
        <w:rPr>
          <w:rFonts w:eastAsia="Times New Roman"/>
          <w:lang w:val="en-GB"/>
        </w:rPr>
        <w:t>Variables of the Model</w:t>
      </w:r>
      <w:bookmarkEnd w:id="22"/>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In this paper, we postulate the existence of a causal relationship between the level of taxpayer non-compliance as the dependent variable, and tax practitioner utilisation, as the independent variable. In addition to tax practitioner utilisation as an independent variable, the model used in the ensuing analysis includes two other specific independent variables - income level and the level of tax morale. In Tanzania, studies have associated income level as being a major determinant of compliance with local government taxes. For example, in his study about compliance with tax at the local government level in Tanzania, Mushi (2003) was able to establish a strong positive relationship between household income and compliance with the development levy</w:t>
      </w:r>
      <w:r w:rsidRPr="000962E9">
        <w:rPr>
          <w:rFonts w:eastAsia="Times New Roman" w:cs="Arial"/>
          <w:szCs w:val="24"/>
          <w:vertAlign w:val="superscript"/>
          <w:lang w:val="en-GB"/>
        </w:rPr>
        <w:footnoteReference w:id="5"/>
      </w:r>
      <w:r w:rsidRPr="000962E9">
        <w:rPr>
          <w:rFonts w:eastAsia="Times New Roman" w:cs="Arial"/>
          <w:szCs w:val="24"/>
          <w:lang w:val="en-GB"/>
        </w:rPr>
        <w:t>.  Similar conclusions had earlier been reached by Semboja and Fjeldstad (1998).</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The level of tax morale, here defined as the intrinsic motivation to pay taxes, can help to explain taxpayer compliance where enforcement cannot explain it all (Torgler 2003). Empirical studies have indeed shown that taxpayer compliance cannot be adequately explained by the level of enforcement alone (see for example Alm and Torgler, 2005). Other factors such as the general attitude of taxpayers in relation to paying tax have been found to influence taxpayer compliance behaviour. Much as the tax practitioner could influence behaviour of his/her client by clarifying the requirements of the tax regime, compliance could also be dependent on the extent to which the client is willing to comply with those requirements. This would be motivated by the two-sided information asymmetry that exists between the taxpayer and the tax practitioner. For example, whereas taxpayers typically have less information about the tax regime they are supposed to comply with, tax practitioners cannot fully verify the financial information they are given by the taxpayers. A moral hazard problem therefore arises since if the tax practitioner insures the taxpayer against losses due to sanctions by the tax authority, the taxpayer would be better off under-reporting his/her taxable activities (Scotchmer 1989a). In our analysis of the role of tax practitioners in taxpayer compliance, we thus attempt to explicitly segregate this potential intrinsic motivation of taxpayers to under-report by introducing an additional independent variable (i.e. level of tax morale) in the relationship between non-compliance and tax practitioner utilisation. For practical purposes, we use the previous non-compliance status of a given taxpayer as a proxy for such taxpayer’s level of tax morale.</w:t>
      </w:r>
    </w:p>
    <w:p w:rsidR="00361DC8" w:rsidRPr="000962E9" w:rsidRDefault="00361DC8" w:rsidP="000962E9">
      <w:pPr>
        <w:jc w:val="both"/>
        <w:rPr>
          <w:rFonts w:eastAsia="Times New Roman" w:cs="Arial"/>
          <w:szCs w:val="24"/>
          <w:lang w:val="en-GB"/>
        </w:rPr>
      </w:pPr>
    </w:p>
    <w:p w:rsidR="00361DC8" w:rsidRPr="000962E9" w:rsidRDefault="00842EAC" w:rsidP="00D008B4">
      <w:pPr>
        <w:pStyle w:val="Heading2"/>
        <w:rPr>
          <w:rFonts w:eastAsia="Times New Roman"/>
          <w:lang w:val="en-GB"/>
        </w:rPr>
      </w:pPr>
      <w:bookmarkStart w:id="23" w:name="_Toc349636419"/>
      <w:r w:rsidRPr="000962E9">
        <w:rPr>
          <w:rFonts w:eastAsia="Times New Roman"/>
          <w:lang w:val="en-GB"/>
        </w:rPr>
        <w:lastRenderedPageBreak/>
        <w:t>3.2</w:t>
      </w:r>
      <w:r w:rsidRPr="000962E9">
        <w:rPr>
          <w:rFonts w:eastAsia="Times New Roman"/>
          <w:lang w:val="en-GB"/>
        </w:rPr>
        <w:tab/>
      </w:r>
      <w:r w:rsidR="00361DC8" w:rsidRPr="000962E9">
        <w:rPr>
          <w:rFonts w:eastAsia="Times New Roman"/>
          <w:lang w:val="en-GB"/>
        </w:rPr>
        <w:t>Mathematical Form of the Model</w:t>
      </w:r>
      <w:bookmarkEnd w:id="23"/>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The model with which taxpayer non-compliance is explored empirically in this paper can be expressed thus:</w:t>
      </w:r>
    </w:p>
    <w:p w:rsidR="00D008B4" w:rsidRPr="000962E9" w:rsidRDefault="00D008B4" w:rsidP="000962E9">
      <w:pPr>
        <w:jc w:val="both"/>
        <w:rPr>
          <w:rFonts w:eastAsia="Times New Roman" w:cs="Arial"/>
          <w:szCs w:val="24"/>
          <w:lang w:val="en-GB"/>
        </w:rPr>
      </w:pPr>
    </w:p>
    <w:p w:rsidR="00361DC8" w:rsidRPr="000962E9" w:rsidRDefault="00361DC8" w:rsidP="000962E9">
      <w:pPr>
        <w:ind w:left="1440"/>
        <w:jc w:val="both"/>
        <w:rPr>
          <w:rFonts w:eastAsia="Times New Roman" w:cs="Arial"/>
          <w:szCs w:val="24"/>
          <w:lang w:val="en-GB"/>
        </w:rPr>
      </w:pPr>
      <w:r w:rsidRPr="000962E9">
        <w:rPr>
          <w:rFonts w:eastAsia="Times New Roman" w:cs="Arial"/>
          <w:i/>
          <w:szCs w:val="24"/>
          <w:lang w:val="en-GB"/>
        </w:rPr>
        <w:t>Y</w:t>
      </w:r>
      <w:r w:rsidRPr="000962E9">
        <w:rPr>
          <w:rFonts w:eastAsia="Times New Roman" w:cs="Arial"/>
          <w:i/>
          <w:szCs w:val="24"/>
          <w:vertAlign w:val="subscript"/>
          <w:lang w:val="en-GB"/>
        </w:rPr>
        <w:t>i</w:t>
      </w:r>
      <w:r w:rsidRPr="000962E9">
        <w:rPr>
          <w:rFonts w:eastAsia="Times New Roman" w:cs="Arial"/>
          <w:i/>
          <w:szCs w:val="24"/>
          <w:lang w:val="en-GB"/>
        </w:rPr>
        <w:t xml:space="preserve"> = f(X</w:t>
      </w:r>
      <w:r w:rsidRPr="000962E9">
        <w:rPr>
          <w:rFonts w:eastAsia="Times New Roman" w:cs="Arial"/>
          <w:i/>
          <w:szCs w:val="24"/>
          <w:vertAlign w:val="subscript"/>
          <w:lang w:val="en-GB"/>
        </w:rPr>
        <w:t>1</w:t>
      </w:r>
      <w:r w:rsidRPr="000962E9">
        <w:rPr>
          <w:rFonts w:eastAsia="Times New Roman" w:cs="Arial"/>
          <w:i/>
          <w:szCs w:val="24"/>
          <w:lang w:val="en-GB"/>
        </w:rPr>
        <w:t>, X</w:t>
      </w:r>
      <w:r w:rsidRPr="000962E9">
        <w:rPr>
          <w:rFonts w:eastAsia="Times New Roman" w:cs="Arial"/>
          <w:i/>
          <w:szCs w:val="24"/>
          <w:vertAlign w:val="subscript"/>
          <w:lang w:val="en-GB"/>
        </w:rPr>
        <w:t>2</w:t>
      </w:r>
      <w:r w:rsidRPr="000962E9">
        <w:rPr>
          <w:rFonts w:eastAsia="Times New Roman" w:cs="Arial"/>
          <w:i/>
          <w:szCs w:val="24"/>
          <w:lang w:val="en-GB"/>
        </w:rPr>
        <w:t>, X</w:t>
      </w:r>
      <w:r w:rsidRPr="000962E9">
        <w:rPr>
          <w:rFonts w:eastAsia="Times New Roman" w:cs="Arial"/>
          <w:i/>
          <w:szCs w:val="24"/>
          <w:vertAlign w:val="subscript"/>
          <w:lang w:val="en-GB"/>
        </w:rPr>
        <w:t>3</w:t>
      </w:r>
      <w:r w:rsidRPr="000962E9">
        <w:rPr>
          <w:rFonts w:eastAsia="Times New Roman" w:cs="Arial"/>
          <w:i/>
          <w:szCs w:val="24"/>
          <w:lang w:val="en-GB"/>
        </w:rPr>
        <w:t>)</w:t>
      </w:r>
    </w:p>
    <w:p w:rsidR="00D008B4" w:rsidRDefault="00D008B4" w:rsidP="000962E9">
      <w:pPr>
        <w:ind w:left="720"/>
        <w:jc w:val="both"/>
        <w:rPr>
          <w:rFonts w:eastAsia="Times New Roman" w:cs="Arial"/>
          <w:szCs w:val="24"/>
          <w:lang w:val="en-GB"/>
        </w:rPr>
      </w:pPr>
    </w:p>
    <w:p w:rsidR="00361DC8" w:rsidRDefault="00361DC8" w:rsidP="000962E9">
      <w:pPr>
        <w:ind w:left="720"/>
        <w:jc w:val="both"/>
        <w:rPr>
          <w:rFonts w:eastAsia="Times New Roman" w:cs="Arial"/>
          <w:szCs w:val="24"/>
          <w:lang w:val="en-GB"/>
        </w:rPr>
      </w:pPr>
      <w:r w:rsidRPr="000962E9">
        <w:rPr>
          <w:rFonts w:eastAsia="Times New Roman" w:cs="Arial"/>
          <w:szCs w:val="24"/>
          <w:lang w:val="en-GB"/>
        </w:rPr>
        <w:t>Where:</w:t>
      </w:r>
    </w:p>
    <w:p w:rsidR="00361DC8" w:rsidRDefault="00361DC8" w:rsidP="000962E9">
      <w:pPr>
        <w:ind w:left="1440"/>
        <w:jc w:val="both"/>
        <w:rPr>
          <w:rFonts w:eastAsia="Times New Roman" w:cs="Arial"/>
          <w:szCs w:val="24"/>
          <w:lang w:val="en-GB"/>
        </w:rPr>
      </w:pPr>
      <w:r w:rsidRPr="000962E9">
        <w:rPr>
          <w:rFonts w:eastAsia="Times New Roman" w:cs="Arial"/>
          <w:i/>
          <w:szCs w:val="24"/>
          <w:lang w:val="en-GB"/>
        </w:rPr>
        <w:t>Y</w:t>
      </w:r>
      <w:r w:rsidRPr="000962E9">
        <w:rPr>
          <w:rFonts w:eastAsia="Times New Roman" w:cs="Arial"/>
          <w:i/>
          <w:szCs w:val="24"/>
          <w:vertAlign w:val="subscript"/>
          <w:lang w:val="en-GB"/>
        </w:rPr>
        <w:t>i</w:t>
      </w:r>
      <w:r w:rsidRPr="000962E9">
        <w:rPr>
          <w:rFonts w:eastAsia="Times New Roman" w:cs="Arial"/>
          <w:szCs w:val="24"/>
          <w:lang w:val="en-GB"/>
        </w:rPr>
        <w:t xml:space="preserve"> = non-compliance level of taxpayer</w:t>
      </w:r>
      <w:r w:rsidRPr="000962E9">
        <w:rPr>
          <w:rFonts w:eastAsia="Times New Roman" w:cs="Arial"/>
          <w:i/>
          <w:szCs w:val="24"/>
          <w:vertAlign w:val="superscript"/>
          <w:lang w:val="en-GB"/>
        </w:rPr>
        <w:t>i</w:t>
      </w:r>
      <w:r w:rsidRPr="000962E9">
        <w:rPr>
          <w:rFonts w:eastAsia="Times New Roman" w:cs="Arial"/>
          <w:szCs w:val="24"/>
          <w:lang w:val="en-GB"/>
        </w:rPr>
        <w:t xml:space="preserve">, (represented by the proportion of the difference between the tax authority - adjusted and the self-reported taxable income to the tax authority -adjusted taxable income expressed as a percentage). </w:t>
      </w:r>
    </w:p>
    <w:p w:rsidR="00361DC8" w:rsidRPr="000962E9" w:rsidRDefault="00361DC8" w:rsidP="000962E9">
      <w:pPr>
        <w:ind w:left="1440"/>
        <w:jc w:val="both"/>
        <w:rPr>
          <w:rFonts w:eastAsia="Times New Roman" w:cs="Arial"/>
          <w:szCs w:val="24"/>
          <w:lang w:val="en-GB"/>
        </w:rPr>
      </w:pPr>
      <w:r w:rsidRPr="000962E9">
        <w:rPr>
          <w:rFonts w:eastAsia="Times New Roman" w:cs="Arial"/>
          <w:i/>
          <w:szCs w:val="24"/>
          <w:lang w:val="en-GB"/>
        </w:rPr>
        <w:t>X</w:t>
      </w:r>
      <w:r w:rsidRPr="000962E9">
        <w:rPr>
          <w:rFonts w:eastAsia="Times New Roman" w:cs="Arial"/>
          <w:i/>
          <w:szCs w:val="24"/>
          <w:vertAlign w:val="subscript"/>
          <w:lang w:val="en-GB"/>
        </w:rPr>
        <w:t>1</w:t>
      </w:r>
      <w:r w:rsidRPr="000962E9">
        <w:rPr>
          <w:rFonts w:eastAsia="Times New Roman" w:cs="Arial"/>
          <w:szCs w:val="24"/>
          <w:lang w:val="en-GB"/>
        </w:rPr>
        <w:t xml:space="preserve"> = utilisation of a tax practitioner by taxpayer</w:t>
      </w:r>
      <w:r w:rsidRPr="000962E9">
        <w:rPr>
          <w:rFonts w:eastAsia="Times New Roman" w:cs="Arial"/>
          <w:i/>
          <w:szCs w:val="24"/>
          <w:vertAlign w:val="superscript"/>
          <w:lang w:val="en-GB"/>
        </w:rPr>
        <w:t>i</w:t>
      </w:r>
      <w:r w:rsidRPr="000962E9">
        <w:rPr>
          <w:rFonts w:eastAsia="Times New Roman" w:cs="Arial"/>
          <w:szCs w:val="24"/>
          <w:lang w:val="en-GB"/>
        </w:rPr>
        <w:t xml:space="preserve"> (approximated by a dummy which takes the value of zero if the tax return is self-prepared)</w:t>
      </w:r>
    </w:p>
    <w:p w:rsidR="00361DC8" w:rsidRDefault="00361DC8" w:rsidP="000962E9">
      <w:pPr>
        <w:ind w:left="1440"/>
        <w:jc w:val="both"/>
        <w:rPr>
          <w:rFonts w:eastAsia="Times New Roman" w:cs="Arial"/>
          <w:szCs w:val="24"/>
          <w:lang w:val="en-GB"/>
        </w:rPr>
      </w:pPr>
      <w:r w:rsidRPr="000962E9">
        <w:rPr>
          <w:rFonts w:eastAsia="Times New Roman" w:cs="Arial"/>
          <w:i/>
          <w:szCs w:val="24"/>
          <w:lang w:val="en-GB"/>
        </w:rPr>
        <w:t>X</w:t>
      </w:r>
      <w:r w:rsidRPr="000962E9">
        <w:rPr>
          <w:rFonts w:eastAsia="Times New Roman" w:cs="Arial"/>
          <w:i/>
          <w:szCs w:val="24"/>
          <w:vertAlign w:val="subscript"/>
          <w:lang w:val="en-GB"/>
        </w:rPr>
        <w:t>2</w:t>
      </w:r>
      <w:r w:rsidRPr="000962E9">
        <w:rPr>
          <w:rFonts w:eastAsia="Times New Roman" w:cs="Arial"/>
          <w:szCs w:val="24"/>
          <w:lang w:val="en-GB"/>
        </w:rPr>
        <w:t xml:space="preserve"> = level of tax morale for taxpayer</w:t>
      </w:r>
      <w:r w:rsidRPr="000962E9">
        <w:rPr>
          <w:rFonts w:eastAsia="Times New Roman" w:cs="Arial"/>
          <w:i/>
          <w:szCs w:val="24"/>
          <w:vertAlign w:val="superscript"/>
          <w:lang w:val="en-GB"/>
        </w:rPr>
        <w:t>i</w:t>
      </w:r>
      <w:r w:rsidRPr="000962E9">
        <w:rPr>
          <w:rFonts w:eastAsia="Times New Roman" w:cs="Arial"/>
          <w:szCs w:val="24"/>
          <w:lang w:val="en-GB"/>
        </w:rPr>
        <w:t xml:space="preserve">, approximated by the previous level of non-compliance (i.e. </w:t>
      </w:r>
      <w:r w:rsidRPr="000962E9">
        <w:rPr>
          <w:rFonts w:eastAsia="Times New Roman" w:cs="Arial"/>
          <w:i/>
          <w:szCs w:val="24"/>
          <w:lang w:val="en-GB"/>
        </w:rPr>
        <w:t>Y</w:t>
      </w:r>
      <w:r w:rsidRPr="000962E9">
        <w:rPr>
          <w:rFonts w:eastAsia="Times New Roman" w:cs="Arial"/>
          <w:i/>
          <w:szCs w:val="24"/>
          <w:vertAlign w:val="subscript"/>
          <w:lang w:val="en-GB"/>
        </w:rPr>
        <w:t>t-1</w:t>
      </w:r>
      <w:r w:rsidRPr="000962E9">
        <w:rPr>
          <w:rFonts w:eastAsia="Times New Roman" w:cs="Arial"/>
          <w:szCs w:val="24"/>
          <w:lang w:val="en-GB"/>
        </w:rPr>
        <w:t>), and</w:t>
      </w:r>
    </w:p>
    <w:p w:rsidR="00361DC8" w:rsidRDefault="00361DC8" w:rsidP="000962E9">
      <w:pPr>
        <w:ind w:left="1440"/>
        <w:jc w:val="both"/>
        <w:rPr>
          <w:rFonts w:eastAsia="Times New Roman" w:cs="Arial"/>
          <w:szCs w:val="24"/>
          <w:lang w:val="en-GB"/>
        </w:rPr>
      </w:pPr>
      <w:r w:rsidRPr="000962E9">
        <w:rPr>
          <w:rFonts w:eastAsia="Times New Roman" w:cs="Arial"/>
          <w:i/>
          <w:szCs w:val="24"/>
          <w:lang w:val="en-GB"/>
        </w:rPr>
        <w:t>X</w:t>
      </w:r>
      <w:r w:rsidRPr="000962E9">
        <w:rPr>
          <w:rFonts w:eastAsia="Times New Roman" w:cs="Arial"/>
          <w:i/>
          <w:szCs w:val="24"/>
          <w:vertAlign w:val="subscript"/>
          <w:lang w:val="en-GB"/>
        </w:rPr>
        <w:t>3</w:t>
      </w:r>
      <w:r w:rsidRPr="000962E9">
        <w:rPr>
          <w:rFonts w:eastAsia="Times New Roman" w:cs="Arial"/>
          <w:szCs w:val="24"/>
          <w:lang w:val="en-GB"/>
        </w:rPr>
        <w:t xml:space="preserve"> = income level of taxpayer</w:t>
      </w:r>
      <w:r w:rsidRPr="000962E9">
        <w:rPr>
          <w:rFonts w:eastAsia="Times New Roman" w:cs="Arial"/>
          <w:i/>
          <w:szCs w:val="24"/>
          <w:vertAlign w:val="superscript"/>
          <w:lang w:val="en-GB"/>
        </w:rPr>
        <w:t>i</w:t>
      </w:r>
      <w:r w:rsidRPr="000962E9">
        <w:rPr>
          <w:rFonts w:eastAsia="Times New Roman" w:cs="Arial"/>
          <w:szCs w:val="24"/>
          <w:lang w:val="en-GB"/>
        </w:rPr>
        <w:t>, represented by the self-reported gross business turnover.</w:t>
      </w:r>
    </w:p>
    <w:p w:rsidR="00D008B4" w:rsidRDefault="00D008B4" w:rsidP="00D008B4">
      <w:pPr>
        <w:jc w:val="both"/>
        <w:rPr>
          <w:rFonts w:eastAsia="Times New Roman" w:cs="Arial"/>
          <w:szCs w:val="24"/>
          <w:lang w:val="en-GB"/>
        </w:rPr>
      </w:pPr>
    </w:p>
    <w:p w:rsidR="00361DC8" w:rsidRDefault="00361DC8" w:rsidP="00D008B4">
      <w:pPr>
        <w:jc w:val="both"/>
        <w:rPr>
          <w:rFonts w:eastAsia="Times New Roman" w:cs="Arial"/>
          <w:szCs w:val="24"/>
          <w:lang w:val="en-GB"/>
        </w:rPr>
      </w:pPr>
      <w:r w:rsidRPr="000962E9">
        <w:rPr>
          <w:rFonts w:eastAsia="Times New Roman" w:cs="Arial"/>
          <w:szCs w:val="24"/>
          <w:lang w:val="en-GB"/>
        </w:rPr>
        <w:t>The mathematical stochastic form of the model specified above is as follows:</w:t>
      </w:r>
    </w:p>
    <w:p w:rsidR="00D008B4" w:rsidRPr="000962E9" w:rsidRDefault="00D008B4" w:rsidP="000962E9">
      <w:pPr>
        <w:ind w:left="1440"/>
        <w:jc w:val="both"/>
        <w:rPr>
          <w:rFonts w:eastAsia="Times New Roman" w:cs="Arial"/>
          <w:szCs w:val="24"/>
          <w:lang w:val="en-GB"/>
        </w:rPr>
      </w:pPr>
    </w:p>
    <w:p w:rsidR="00361DC8" w:rsidRPr="000962E9" w:rsidRDefault="00361DC8" w:rsidP="000962E9">
      <w:pPr>
        <w:ind w:left="1440"/>
        <w:jc w:val="both"/>
        <w:rPr>
          <w:rFonts w:eastAsia="Times New Roman" w:cs="Arial"/>
          <w:i/>
          <w:szCs w:val="24"/>
          <w:lang w:val="en-GB"/>
        </w:rPr>
      </w:pPr>
      <w:r w:rsidRPr="000962E9">
        <w:rPr>
          <w:rFonts w:eastAsia="Times New Roman" w:cs="Arial"/>
          <w:i/>
          <w:szCs w:val="24"/>
          <w:lang w:val="en-GB"/>
        </w:rPr>
        <w:t>Y</w:t>
      </w:r>
      <w:r w:rsidRPr="000962E9">
        <w:rPr>
          <w:rFonts w:eastAsia="Times New Roman" w:cs="Arial"/>
          <w:i/>
          <w:szCs w:val="24"/>
          <w:vertAlign w:val="subscript"/>
          <w:lang w:val="en-GB"/>
        </w:rPr>
        <w:t>i</w:t>
      </w:r>
      <w:r w:rsidRPr="000962E9">
        <w:rPr>
          <w:rFonts w:eastAsia="Times New Roman" w:cs="Arial"/>
          <w:szCs w:val="24"/>
          <w:lang w:val="en-GB"/>
        </w:rPr>
        <w:t xml:space="preserve">= </w:t>
      </w:r>
      <w:r w:rsidRPr="000962E9">
        <w:rPr>
          <w:rFonts w:eastAsia="Times New Roman" w:cs="Arial"/>
          <w:i/>
          <w:szCs w:val="24"/>
          <w:lang w:val="en-GB"/>
        </w:rPr>
        <w:t>α</w:t>
      </w:r>
      <w:r w:rsidRPr="000962E9">
        <w:rPr>
          <w:rFonts w:eastAsia="Times New Roman" w:cs="Arial"/>
          <w:szCs w:val="24"/>
          <w:lang w:val="en-GB"/>
        </w:rPr>
        <w:t xml:space="preserve"> +</w:t>
      </w:r>
      <w:r w:rsidRPr="000962E9">
        <w:rPr>
          <w:rFonts w:eastAsia="Times New Roman" w:cs="Arial"/>
          <w:i/>
          <w:szCs w:val="24"/>
          <w:lang w:val="en-GB"/>
        </w:rPr>
        <w:t xml:space="preserve"> β</w:t>
      </w:r>
      <w:r w:rsidRPr="000962E9">
        <w:rPr>
          <w:rFonts w:eastAsia="Times New Roman" w:cs="Arial"/>
          <w:i/>
          <w:szCs w:val="24"/>
          <w:vertAlign w:val="subscript"/>
          <w:lang w:val="en-GB"/>
        </w:rPr>
        <w:t>1</w:t>
      </w:r>
      <w:r w:rsidRPr="000962E9">
        <w:rPr>
          <w:rFonts w:eastAsia="Times New Roman" w:cs="Arial"/>
          <w:i/>
          <w:szCs w:val="24"/>
          <w:lang w:val="en-GB"/>
        </w:rPr>
        <w:t>X</w:t>
      </w:r>
      <w:r w:rsidRPr="000962E9">
        <w:rPr>
          <w:rFonts w:eastAsia="Times New Roman" w:cs="Arial"/>
          <w:i/>
          <w:szCs w:val="24"/>
          <w:vertAlign w:val="subscript"/>
          <w:lang w:val="en-GB"/>
        </w:rPr>
        <w:t>1</w:t>
      </w:r>
      <w:r w:rsidRPr="000962E9">
        <w:rPr>
          <w:rFonts w:eastAsia="Times New Roman" w:cs="Arial"/>
          <w:szCs w:val="24"/>
          <w:lang w:val="en-GB"/>
        </w:rPr>
        <w:t xml:space="preserve"> +</w:t>
      </w:r>
      <w:r w:rsidRPr="000962E9">
        <w:rPr>
          <w:rFonts w:eastAsia="Times New Roman" w:cs="Arial"/>
          <w:i/>
          <w:szCs w:val="24"/>
          <w:lang w:val="en-GB"/>
        </w:rPr>
        <w:t xml:space="preserve"> β</w:t>
      </w:r>
      <w:r w:rsidRPr="000962E9">
        <w:rPr>
          <w:rFonts w:eastAsia="Times New Roman" w:cs="Arial"/>
          <w:i/>
          <w:szCs w:val="24"/>
          <w:vertAlign w:val="subscript"/>
          <w:lang w:val="en-GB"/>
        </w:rPr>
        <w:t>2</w:t>
      </w:r>
      <w:r w:rsidRPr="000962E9">
        <w:rPr>
          <w:rFonts w:eastAsia="Times New Roman" w:cs="Arial"/>
          <w:i/>
          <w:szCs w:val="24"/>
          <w:lang w:val="en-GB"/>
        </w:rPr>
        <w:t>X</w:t>
      </w:r>
      <w:r w:rsidRPr="000962E9">
        <w:rPr>
          <w:rFonts w:eastAsia="Times New Roman" w:cs="Arial"/>
          <w:i/>
          <w:szCs w:val="24"/>
          <w:vertAlign w:val="subscript"/>
          <w:lang w:val="en-GB"/>
        </w:rPr>
        <w:t>2</w:t>
      </w:r>
      <w:r w:rsidRPr="000962E9">
        <w:rPr>
          <w:rFonts w:eastAsia="Times New Roman" w:cs="Arial"/>
          <w:szCs w:val="24"/>
          <w:lang w:val="en-GB"/>
        </w:rPr>
        <w:t xml:space="preserve"> + </w:t>
      </w:r>
      <w:r w:rsidRPr="000962E9">
        <w:rPr>
          <w:rFonts w:eastAsia="Times New Roman" w:cs="Arial"/>
          <w:i/>
          <w:szCs w:val="24"/>
          <w:lang w:val="en-GB"/>
        </w:rPr>
        <w:t>β</w:t>
      </w:r>
      <w:r w:rsidRPr="000962E9">
        <w:rPr>
          <w:rFonts w:eastAsia="Times New Roman" w:cs="Arial"/>
          <w:i/>
          <w:szCs w:val="24"/>
          <w:vertAlign w:val="subscript"/>
          <w:lang w:val="en-GB"/>
        </w:rPr>
        <w:t>3</w:t>
      </w:r>
      <w:r w:rsidRPr="000962E9">
        <w:rPr>
          <w:rFonts w:eastAsia="Times New Roman" w:cs="Arial"/>
          <w:i/>
          <w:szCs w:val="24"/>
          <w:lang w:val="en-GB"/>
        </w:rPr>
        <w:t>X</w:t>
      </w:r>
      <w:r w:rsidRPr="000962E9">
        <w:rPr>
          <w:rFonts w:eastAsia="Times New Roman" w:cs="Arial"/>
          <w:i/>
          <w:szCs w:val="24"/>
          <w:vertAlign w:val="subscript"/>
          <w:lang w:val="en-GB"/>
        </w:rPr>
        <w:t>3</w:t>
      </w:r>
      <w:r w:rsidRPr="000962E9">
        <w:rPr>
          <w:rFonts w:eastAsia="Times New Roman" w:cs="Arial"/>
          <w:szCs w:val="24"/>
          <w:lang w:val="en-GB"/>
        </w:rPr>
        <w:t xml:space="preserve"> + </w:t>
      </w:r>
      <w:r w:rsidRPr="000962E9">
        <w:rPr>
          <w:rFonts w:eastAsia="Times New Roman" w:cs="Arial"/>
          <w:i/>
          <w:szCs w:val="24"/>
          <w:lang w:val="en-GB"/>
        </w:rPr>
        <w:sym w:font="Symbol" w:char="F06D"/>
      </w:r>
    </w:p>
    <w:p w:rsidR="00D008B4" w:rsidRDefault="00D008B4" w:rsidP="000962E9">
      <w:pPr>
        <w:ind w:left="720"/>
        <w:jc w:val="both"/>
        <w:rPr>
          <w:rFonts w:eastAsia="Times New Roman" w:cs="Arial"/>
          <w:szCs w:val="24"/>
          <w:lang w:val="en-GB"/>
        </w:rPr>
      </w:pPr>
    </w:p>
    <w:p w:rsidR="00361DC8" w:rsidRPr="000962E9" w:rsidRDefault="00361DC8" w:rsidP="000962E9">
      <w:pPr>
        <w:ind w:left="720"/>
        <w:jc w:val="both"/>
        <w:rPr>
          <w:rFonts w:eastAsia="Times New Roman" w:cs="Arial"/>
          <w:szCs w:val="24"/>
          <w:lang w:val="en-GB"/>
        </w:rPr>
      </w:pPr>
      <w:r w:rsidRPr="000962E9">
        <w:rPr>
          <w:rFonts w:eastAsia="Times New Roman" w:cs="Arial"/>
          <w:szCs w:val="24"/>
          <w:lang w:val="en-GB"/>
        </w:rPr>
        <w:t>Where:</w:t>
      </w:r>
    </w:p>
    <w:p w:rsidR="00361DC8" w:rsidRPr="000962E9" w:rsidRDefault="00361DC8" w:rsidP="000962E9">
      <w:pPr>
        <w:ind w:left="1440"/>
        <w:jc w:val="both"/>
        <w:rPr>
          <w:rFonts w:eastAsia="Times New Roman" w:cs="Arial"/>
          <w:szCs w:val="24"/>
          <w:lang w:val="en-GB"/>
        </w:rPr>
      </w:pPr>
      <w:r w:rsidRPr="000962E9">
        <w:rPr>
          <w:rFonts w:eastAsia="Times New Roman" w:cs="Arial"/>
          <w:i/>
          <w:szCs w:val="24"/>
          <w:lang w:val="en-GB"/>
        </w:rPr>
        <w:t>α, β</w:t>
      </w:r>
      <w:r w:rsidRPr="000962E9">
        <w:rPr>
          <w:rFonts w:eastAsia="Times New Roman" w:cs="Arial"/>
          <w:i/>
          <w:szCs w:val="24"/>
          <w:vertAlign w:val="subscript"/>
          <w:lang w:val="en-GB"/>
        </w:rPr>
        <w:t>1</w:t>
      </w:r>
      <w:r w:rsidRPr="000962E9">
        <w:rPr>
          <w:rFonts w:eastAsia="Times New Roman" w:cs="Arial"/>
          <w:i/>
          <w:szCs w:val="24"/>
          <w:lang w:val="en-GB"/>
        </w:rPr>
        <w:t>, β</w:t>
      </w:r>
      <w:r w:rsidRPr="000962E9">
        <w:rPr>
          <w:rFonts w:eastAsia="Times New Roman" w:cs="Arial"/>
          <w:i/>
          <w:szCs w:val="24"/>
          <w:vertAlign w:val="subscript"/>
          <w:lang w:val="en-GB"/>
        </w:rPr>
        <w:t>2</w:t>
      </w:r>
      <w:r w:rsidRPr="000962E9">
        <w:rPr>
          <w:rFonts w:eastAsia="Times New Roman" w:cs="Arial"/>
          <w:szCs w:val="24"/>
          <w:lang w:val="en-GB"/>
        </w:rPr>
        <w:t xml:space="preserve"> and </w:t>
      </w:r>
      <w:r w:rsidRPr="000962E9">
        <w:rPr>
          <w:rFonts w:eastAsia="Times New Roman" w:cs="Arial"/>
          <w:i/>
          <w:szCs w:val="24"/>
          <w:lang w:val="en-GB"/>
        </w:rPr>
        <w:t>β</w:t>
      </w:r>
      <w:r w:rsidRPr="000962E9">
        <w:rPr>
          <w:rFonts w:eastAsia="Times New Roman" w:cs="Arial"/>
          <w:i/>
          <w:szCs w:val="24"/>
          <w:vertAlign w:val="subscript"/>
          <w:lang w:val="en-GB"/>
        </w:rPr>
        <w:t>3</w:t>
      </w:r>
      <w:r w:rsidRPr="000962E9">
        <w:rPr>
          <w:rFonts w:eastAsia="Times New Roman" w:cs="Arial"/>
          <w:szCs w:val="24"/>
          <w:lang w:val="en-GB"/>
        </w:rPr>
        <w:t xml:space="preserve"> are the parameter estimates, and</w:t>
      </w:r>
    </w:p>
    <w:p w:rsidR="00361DC8" w:rsidRDefault="00361DC8" w:rsidP="000962E9">
      <w:pPr>
        <w:ind w:left="1440"/>
        <w:jc w:val="both"/>
        <w:rPr>
          <w:rFonts w:eastAsia="Times New Roman" w:cs="Arial"/>
          <w:i/>
          <w:szCs w:val="24"/>
          <w:lang w:val="en-GB"/>
        </w:rPr>
      </w:pPr>
      <w:r w:rsidRPr="000962E9">
        <w:rPr>
          <w:rFonts w:eastAsia="Times New Roman" w:cs="Arial"/>
          <w:i/>
          <w:szCs w:val="24"/>
          <w:lang w:val="en-GB"/>
        </w:rPr>
        <w:sym w:font="Symbol" w:char="F06D"/>
      </w:r>
      <w:r w:rsidRPr="000962E9">
        <w:rPr>
          <w:rFonts w:eastAsia="Times New Roman" w:cs="Arial"/>
          <w:szCs w:val="24"/>
          <w:lang w:val="en-GB"/>
        </w:rPr>
        <w:t xml:space="preserve">is the disturbance term with </w:t>
      </w:r>
      <w:r w:rsidRPr="000962E9">
        <w:rPr>
          <w:rFonts w:eastAsia="Times New Roman" w:cs="Arial"/>
          <w:i/>
          <w:szCs w:val="24"/>
          <w:lang w:val="en-GB"/>
        </w:rPr>
        <w:sym w:font="Symbol" w:char="F06D"/>
      </w:r>
      <w:r w:rsidRPr="000962E9">
        <w:rPr>
          <w:rFonts w:eastAsia="Times New Roman" w:cs="Arial"/>
          <w:i/>
          <w:szCs w:val="24"/>
          <w:lang w:val="en-GB"/>
        </w:rPr>
        <w:sym w:font="Symbol" w:char="F07E"/>
      </w:r>
      <w:r w:rsidRPr="000962E9">
        <w:rPr>
          <w:rFonts w:eastAsia="Times New Roman" w:cs="Arial"/>
          <w:i/>
          <w:szCs w:val="24"/>
          <w:lang w:val="en-GB"/>
        </w:rPr>
        <w:t xml:space="preserve"> N(0,δ</w:t>
      </w:r>
      <w:r w:rsidRPr="000962E9">
        <w:rPr>
          <w:rFonts w:eastAsia="Times New Roman" w:cs="Arial"/>
          <w:i/>
          <w:szCs w:val="24"/>
          <w:vertAlign w:val="superscript"/>
          <w:lang w:val="en-GB"/>
        </w:rPr>
        <w:t>2</w:t>
      </w:r>
      <w:r w:rsidRPr="000962E9">
        <w:rPr>
          <w:rFonts w:eastAsia="Times New Roman" w:cs="Arial"/>
          <w:i/>
          <w:szCs w:val="24"/>
          <w:lang w:val="en-GB"/>
        </w:rPr>
        <w:t>)</w:t>
      </w:r>
    </w:p>
    <w:p w:rsidR="00D008B4" w:rsidRPr="000962E9" w:rsidRDefault="00D008B4" w:rsidP="000962E9">
      <w:pPr>
        <w:ind w:left="1440"/>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Since it is hypothesised that taxpayer non-compliance and tax practitioner utilisation are inversely related, the </w:t>
      </w:r>
      <w:r w:rsidRPr="000962E9">
        <w:rPr>
          <w:rFonts w:eastAsia="Times New Roman" w:cs="Arial"/>
          <w:i/>
          <w:szCs w:val="24"/>
          <w:lang w:val="en-GB"/>
        </w:rPr>
        <w:t>a priori</w:t>
      </w:r>
      <w:r w:rsidRPr="000962E9">
        <w:rPr>
          <w:rFonts w:eastAsia="Times New Roman" w:cs="Arial"/>
          <w:szCs w:val="24"/>
          <w:lang w:val="en-GB"/>
        </w:rPr>
        <w:t xml:space="preserve"> theoretical criteria on the basis of which the results of the estimation of the above model will be evaluated suggest that parameter </w:t>
      </w:r>
      <w:r w:rsidRPr="000962E9">
        <w:rPr>
          <w:rFonts w:eastAsia="Times New Roman" w:cs="Arial"/>
          <w:i/>
          <w:szCs w:val="24"/>
          <w:lang w:val="en-GB"/>
        </w:rPr>
        <w:t>β</w:t>
      </w:r>
      <w:r w:rsidRPr="000962E9">
        <w:rPr>
          <w:rFonts w:eastAsia="Times New Roman" w:cs="Arial"/>
          <w:i/>
          <w:szCs w:val="24"/>
          <w:vertAlign w:val="subscript"/>
          <w:lang w:val="en-GB"/>
        </w:rPr>
        <w:t>1</w:t>
      </w:r>
      <w:r w:rsidRPr="000962E9">
        <w:rPr>
          <w:rFonts w:eastAsia="Times New Roman" w:cs="Arial"/>
          <w:szCs w:val="24"/>
          <w:lang w:val="en-GB"/>
        </w:rPr>
        <w:t xml:space="preserve"> will be negative and significant if, in the real world, tax practitioner utilisation reduces non-compliance (i.e. when the dummy variable </w:t>
      </w:r>
      <w:r w:rsidRPr="000962E9">
        <w:rPr>
          <w:rFonts w:eastAsia="Times New Roman" w:cs="Arial"/>
          <w:i/>
          <w:szCs w:val="24"/>
          <w:lang w:val="en-GB"/>
        </w:rPr>
        <w:t>X</w:t>
      </w:r>
      <w:r w:rsidRPr="000962E9">
        <w:rPr>
          <w:rFonts w:eastAsia="Times New Roman" w:cs="Arial"/>
          <w:i/>
          <w:szCs w:val="24"/>
          <w:vertAlign w:val="subscript"/>
          <w:lang w:val="en-GB"/>
        </w:rPr>
        <w:t>1</w:t>
      </w:r>
      <w:r w:rsidRPr="000962E9">
        <w:rPr>
          <w:rFonts w:eastAsia="Times New Roman" w:cs="Arial"/>
          <w:szCs w:val="24"/>
          <w:lang w:val="en-GB"/>
        </w:rPr>
        <w:t xml:space="preserve"> is unity). The formal statistical expression of the study null and alternative hypotheses thus becomes respectively:</w:t>
      </w:r>
    </w:p>
    <w:p w:rsidR="00D008B4" w:rsidRPr="000962E9" w:rsidRDefault="00D008B4" w:rsidP="000962E9">
      <w:pPr>
        <w:jc w:val="both"/>
        <w:rPr>
          <w:rFonts w:eastAsia="Times New Roman" w:cs="Arial"/>
          <w:szCs w:val="24"/>
          <w:lang w:val="en-GB"/>
        </w:rPr>
      </w:pPr>
    </w:p>
    <w:p w:rsidR="00361DC8" w:rsidRPr="000962E9" w:rsidRDefault="00361DC8" w:rsidP="000962E9">
      <w:pPr>
        <w:ind w:left="1440"/>
        <w:jc w:val="both"/>
        <w:rPr>
          <w:rFonts w:eastAsia="Times New Roman" w:cs="Arial"/>
          <w:szCs w:val="24"/>
          <w:lang w:val="en-GB"/>
        </w:rPr>
      </w:pPr>
      <w:r w:rsidRPr="000962E9">
        <w:rPr>
          <w:rFonts w:eastAsia="Times New Roman" w:cs="Arial"/>
          <w:szCs w:val="24"/>
          <w:lang w:val="en-GB"/>
        </w:rPr>
        <w:t>H</w:t>
      </w:r>
      <w:r w:rsidRPr="000962E9">
        <w:rPr>
          <w:rFonts w:eastAsia="Times New Roman" w:cs="Arial"/>
          <w:szCs w:val="24"/>
          <w:vertAlign w:val="subscript"/>
          <w:lang w:val="en-GB"/>
        </w:rPr>
        <w:t>0</w:t>
      </w:r>
      <w:r w:rsidRPr="000962E9">
        <w:rPr>
          <w:rFonts w:eastAsia="Times New Roman" w:cs="Arial"/>
          <w:szCs w:val="24"/>
          <w:lang w:val="en-GB"/>
        </w:rPr>
        <w:t xml:space="preserve">: </w:t>
      </w:r>
      <w:r w:rsidRPr="000962E9">
        <w:rPr>
          <w:rFonts w:eastAsia="Times New Roman" w:cs="Arial"/>
          <w:i/>
          <w:szCs w:val="24"/>
          <w:lang w:val="en-GB"/>
        </w:rPr>
        <w:t>β</w:t>
      </w:r>
      <w:r w:rsidRPr="000962E9">
        <w:rPr>
          <w:rFonts w:eastAsia="Times New Roman" w:cs="Arial"/>
          <w:i/>
          <w:szCs w:val="24"/>
          <w:vertAlign w:val="subscript"/>
          <w:lang w:val="en-GB"/>
        </w:rPr>
        <w:t>1</w:t>
      </w:r>
      <w:r w:rsidRPr="000962E9">
        <w:rPr>
          <w:rFonts w:eastAsia="Times New Roman" w:cs="Arial"/>
          <w:szCs w:val="24"/>
          <w:lang w:val="en-GB"/>
        </w:rPr>
        <w:t>&lt; 0 and H</w:t>
      </w:r>
      <w:r w:rsidRPr="000962E9">
        <w:rPr>
          <w:rFonts w:eastAsia="Times New Roman" w:cs="Arial"/>
          <w:szCs w:val="24"/>
          <w:vertAlign w:val="subscript"/>
          <w:lang w:val="en-GB"/>
        </w:rPr>
        <w:t>1</w:t>
      </w:r>
      <w:r w:rsidRPr="000962E9">
        <w:rPr>
          <w:rFonts w:eastAsia="Times New Roman" w:cs="Arial"/>
          <w:szCs w:val="24"/>
          <w:lang w:val="en-GB"/>
        </w:rPr>
        <w:t xml:space="preserve">: </w:t>
      </w:r>
      <w:r w:rsidRPr="000962E9">
        <w:rPr>
          <w:rFonts w:eastAsia="Times New Roman" w:cs="Arial"/>
          <w:i/>
          <w:szCs w:val="24"/>
          <w:lang w:val="en-GB"/>
        </w:rPr>
        <w:t>β</w:t>
      </w:r>
      <w:r w:rsidRPr="000962E9">
        <w:rPr>
          <w:rFonts w:eastAsia="Times New Roman" w:cs="Arial"/>
          <w:i/>
          <w:szCs w:val="24"/>
          <w:vertAlign w:val="subscript"/>
          <w:lang w:val="en-GB"/>
        </w:rPr>
        <w:t>1</w:t>
      </w:r>
      <w:r w:rsidRPr="000962E9">
        <w:rPr>
          <w:rFonts w:eastAsia="Times New Roman" w:cs="Arial"/>
          <w:szCs w:val="24"/>
          <w:lang w:val="en-GB"/>
        </w:rPr>
        <w:t xml:space="preserve"> ≥ 0</w:t>
      </w:r>
    </w:p>
    <w:p w:rsidR="00D008B4"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Similarly, the other two parameters of </w:t>
      </w:r>
      <w:r w:rsidRPr="000962E9">
        <w:rPr>
          <w:rFonts w:eastAsia="Times New Roman" w:cs="Arial"/>
          <w:i/>
          <w:szCs w:val="24"/>
          <w:lang w:val="en-GB"/>
        </w:rPr>
        <w:t>β</w:t>
      </w:r>
      <w:r w:rsidRPr="000962E9">
        <w:rPr>
          <w:rFonts w:eastAsia="Times New Roman" w:cs="Arial"/>
          <w:i/>
          <w:szCs w:val="24"/>
          <w:vertAlign w:val="subscript"/>
          <w:lang w:val="en-GB"/>
        </w:rPr>
        <w:t xml:space="preserve">1 </w:t>
      </w:r>
      <w:r w:rsidRPr="000962E9">
        <w:rPr>
          <w:rFonts w:eastAsia="Times New Roman" w:cs="Arial"/>
          <w:szCs w:val="24"/>
          <w:lang w:val="en-GB"/>
        </w:rPr>
        <w:t>and</w:t>
      </w:r>
      <w:r w:rsidRPr="000962E9">
        <w:rPr>
          <w:rFonts w:eastAsia="Times New Roman" w:cs="Arial"/>
          <w:i/>
          <w:szCs w:val="24"/>
          <w:lang w:val="en-GB"/>
        </w:rPr>
        <w:t xml:space="preserve"> β</w:t>
      </w:r>
      <w:r w:rsidRPr="000962E9">
        <w:rPr>
          <w:rFonts w:eastAsia="Times New Roman" w:cs="Arial"/>
          <w:i/>
          <w:szCs w:val="24"/>
          <w:vertAlign w:val="subscript"/>
          <w:lang w:val="en-GB"/>
        </w:rPr>
        <w:t>2</w:t>
      </w:r>
      <w:r w:rsidRPr="000962E9">
        <w:rPr>
          <w:rFonts w:eastAsia="Times New Roman" w:cs="Arial"/>
          <w:szCs w:val="24"/>
          <w:lang w:val="en-GB"/>
        </w:rPr>
        <w:t xml:space="preserve"> are expected to be negative since tax morale and level of income are both expected to be inversely related to taxpayer non-compliance. The constant </w:t>
      </w:r>
      <w:r w:rsidRPr="000962E9">
        <w:rPr>
          <w:rFonts w:eastAsia="Times New Roman" w:cs="Arial"/>
          <w:i/>
          <w:szCs w:val="24"/>
          <w:lang w:val="en-GB"/>
        </w:rPr>
        <w:t>α</w:t>
      </w:r>
      <w:r w:rsidRPr="000962E9">
        <w:rPr>
          <w:rFonts w:eastAsia="Times New Roman" w:cs="Arial"/>
          <w:szCs w:val="24"/>
          <w:lang w:val="en-GB"/>
        </w:rPr>
        <w:t xml:space="preserve"> is expected to be positive since in real life the level of taxpayer non-compliance will always be greater than zero.</w:t>
      </w:r>
    </w:p>
    <w:p w:rsidR="00361DC8" w:rsidRPr="000962E9" w:rsidRDefault="00361DC8" w:rsidP="000962E9">
      <w:pPr>
        <w:jc w:val="both"/>
        <w:rPr>
          <w:rFonts w:eastAsia="Times New Roman" w:cs="Arial"/>
          <w:szCs w:val="24"/>
          <w:lang w:val="en-GB"/>
        </w:rPr>
      </w:pPr>
    </w:p>
    <w:p w:rsidR="00D008B4" w:rsidRDefault="00D008B4">
      <w:pPr>
        <w:rPr>
          <w:rFonts w:eastAsia="Times New Roman" w:cs="Arial"/>
          <w:b/>
          <w:szCs w:val="24"/>
          <w:lang w:val="en-GB"/>
        </w:rPr>
      </w:pPr>
      <w:r>
        <w:rPr>
          <w:rFonts w:eastAsia="Times New Roman" w:cs="Arial"/>
          <w:b/>
          <w:szCs w:val="24"/>
          <w:lang w:val="en-GB"/>
        </w:rPr>
        <w:br w:type="page"/>
      </w:r>
    </w:p>
    <w:p w:rsidR="00361DC8" w:rsidRPr="000962E9" w:rsidRDefault="00842EAC" w:rsidP="00D008B4">
      <w:pPr>
        <w:pStyle w:val="Heading1"/>
        <w:rPr>
          <w:rFonts w:eastAsia="Times New Roman"/>
          <w:lang w:val="en-GB"/>
        </w:rPr>
      </w:pPr>
      <w:bookmarkStart w:id="24" w:name="_Toc349636420"/>
      <w:r w:rsidRPr="000962E9">
        <w:rPr>
          <w:rFonts w:eastAsia="Times New Roman"/>
          <w:lang w:val="en-GB"/>
        </w:rPr>
        <w:lastRenderedPageBreak/>
        <w:t>4.0</w:t>
      </w:r>
      <w:r w:rsidRPr="000962E9">
        <w:rPr>
          <w:rFonts w:eastAsia="Times New Roman"/>
          <w:lang w:val="en-GB"/>
        </w:rPr>
        <w:tab/>
      </w:r>
      <w:r w:rsidR="00361DC8" w:rsidRPr="000962E9">
        <w:rPr>
          <w:rFonts w:eastAsia="Times New Roman"/>
          <w:lang w:val="en-GB"/>
        </w:rPr>
        <w:t>DESCRIPTION OF THE DATA SET</w:t>
      </w:r>
      <w:bookmarkEnd w:id="24"/>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The data set used for this study consists of information related to a cross section of 879 taxpayers who were subjected to tax audits by the Tanzania Revenue Authority in the fiscal year 2009/2010. This data set comprises the results of tax audits for 879 taxpayers who make up a stratified random sample of the population of all 5,417 taxpayers audited across Tanzania in the fiscal year 2009/2010.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Out of the total 879 taxpayers in the study sample, 99 per cent are privately-owned businesses. The data set includes 30.3 per cent sole proprietorships, 65.4 per cent corporations and the remaining 4.3 per cent partnerships.</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The tax audit results are presented based on the tax return preparation mode categorised as either self-prepared, tax practitioner-prepared category I or tax practitioner-prepared category II. The latter consists of audited taxpayers who, in the preparations of the audited tax returns, engaged the services of the four biggest tax consulting firms in Tanzania namely,PWC, KPMG, Deloitte and Ernst &amp; Young, i.e. the Big Four. The tax practitioner-prepared category I includes taxpayers who engaged the services of any other tax consulting firm.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Table 1 presents the frequency of type of organisation by tax return preparation mode. In all, 10 per cent of the returns were prepared without the assistance of a tax practitioner, 87 per cent were prepared with assistance of category I tax practitioners and the remaining 3 per cent were prepared with assistance of category II tax practitioners.</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As is expected, the majority of those who did not engage the services of tax practitioners are sole proprietorships. It is important to note that neither sole proprietorships nor partnerships engaged the services of tax practitioner category II.  </w:t>
      </w: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As pointed out earlier, the measure of taxpayer non-compliance used in this paper is the proportion of the difference between the tax authority-determined taxable income and the self-reported taxable income to the tax authority-determined taxable income expressed as a percentage. </w:t>
      </w:r>
    </w:p>
    <w:p w:rsidR="00361DC8" w:rsidRPr="000962E9" w:rsidRDefault="00361DC8" w:rsidP="000962E9">
      <w:pPr>
        <w:jc w:val="both"/>
        <w:rPr>
          <w:rFonts w:eastAsia="Times New Roman" w:cs="Arial"/>
          <w:b/>
          <w:szCs w:val="24"/>
          <w:lang w:val="en-GB"/>
        </w:rPr>
      </w:pPr>
    </w:p>
    <w:p w:rsidR="00361DC8" w:rsidRPr="000962E9" w:rsidRDefault="00361DC8" w:rsidP="000962E9">
      <w:pPr>
        <w:jc w:val="center"/>
        <w:rPr>
          <w:rFonts w:eastAsia="Times New Roman" w:cs="Arial"/>
          <w:b/>
          <w:szCs w:val="24"/>
          <w:lang w:val="en-GB"/>
        </w:rPr>
      </w:pPr>
      <w:r w:rsidRPr="000962E9">
        <w:rPr>
          <w:rFonts w:eastAsia="Times New Roman" w:cs="Arial"/>
          <w:b/>
          <w:szCs w:val="24"/>
          <w:lang w:val="en-GB"/>
        </w:rPr>
        <w:t>Table 1: Frequency of type of organisation by preparation mode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tblPr>
      <w:tblGrid>
        <w:gridCol w:w="3177"/>
        <w:gridCol w:w="1210"/>
        <w:gridCol w:w="1765"/>
        <w:gridCol w:w="1981"/>
        <w:gridCol w:w="1112"/>
      </w:tblGrid>
      <w:tr w:rsidR="00361DC8" w:rsidRPr="000962E9" w:rsidTr="00D008B4">
        <w:trPr>
          <w:trHeight w:val="288"/>
          <w:jc w:val="center"/>
        </w:trPr>
        <w:tc>
          <w:tcPr>
            <w:tcW w:w="1300" w:type="pct"/>
            <w:vMerge w:val="restar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TYPE OF ORGANISATION</w:t>
            </w:r>
          </w:p>
        </w:tc>
        <w:tc>
          <w:tcPr>
            <w:tcW w:w="2994"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TAX RETURN PREPARATION MODE</w:t>
            </w:r>
          </w:p>
        </w:tc>
        <w:tc>
          <w:tcPr>
            <w:tcW w:w="706" w:type="pct"/>
            <w:vMerge w:val="restar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TOTAL</w:t>
            </w:r>
          </w:p>
          <w:p w:rsidR="00361DC8" w:rsidRPr="000962E9" w:rsidRDefault="00361DC8" w:rsidP="000962E9">
            <w:pPr>
              <w:jc w:val="both"/>
              <w:rPr>
                <w:rFonts w:eastAsia="Times New Roman" w:cs="Arial"/>
                <w:b/>
                <w:szCs w:val="24"/>
                <w:lang w:val="en-GB"/>
              </w:rPr>
            </w:pPr>
          </w:p>
        </w:tc>
      </w:tr>
      <w:tr w:rsidR="00361DC8" w:rsidRPr="000962E9" w:rsidTr="00D008B4">
        <w:trPr>
          <w:trHeight w:val="288"/>
          <w:jc w:val="center"/>
        </w:trPr>
        <w:tc>
          <w:tcPr>
            <w:tcW w:w="1300" w:type="pct"/>
            <w:vMerge/>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p>
        </w:tc>
        <w:tc>
          <w:tcPr>
            <w:tcW w:w="759" w:type="pc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Self</w:t>
            </w:r>
          </w:p>
        </w:tc>
        <w:tc>
          <w:tcPr>
            <w:tcW w:w="1059" w:type="pc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Practitioner I</w:t>
            </w:r>
          </w:p>
        </w:tc>
        <w:tc>
          <w:tcPr>
            <w:tcW w:w="1176" w:type="pc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Practitioner II</w:t>
            </w:r>
          </w:p>
        </w:tc>
        <w:tc>
          <w:tcPr>
            <w:tcW w:w="706" w:type="pct"/>
            <w:vMerge/>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p>
        </w:tc>
      </w:tr>
      <w:tr w:rsidR="00361DC8" w:rsidRPr="000962E9" w:rsidTr="00D008B4">
        <w:trPr>
          <w:trHeight w:val="288"/>
          <w:jc w:val="center"/>
        </w:trPr>
        <w:tc>
          <w:tcPr>
            <w:tcW w:w="1300"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Sole proprietorship</w:t>
            </w:r>
          </w:p>
        </w:tc>
        <w:tc>
          <w:tcPr>
            <w:tcW w:w="7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19%</w:t>
            </w:r>
          </w:p>
        </w:tc>
        <w:tc>
          <w:tcPr>
            <w:tcW w:w="10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81%</w:t>
            </w:r>
          </w:p>
        </w:tc>
        <w:tc>
          <w:tcPr>
            <w:tcW w:w="11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w:t>
            </w:r>
          </w:p>
        </w:tc>
        <w:tc>
          <w:tcPr>
            <w:tcW w:w="70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100%</w:t>
            </w:r>
          </w:p>
        </w:tc>
      </w:tr>
      <w:tr w:rsidR="00361DC8" w:rsidRPr="000962E9" w:rsidTr="00D008B4">
        <w:trPr>
          <w:trHeight w:val="288"/>
          <w:jc w:val="center"/>
        </w:trPr>
        <w:tc>
          <w:tcPr>
            <w:tcW w:w="1300"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Partnership</w:t>
            </w:r>
          </w:p>
        </w:tc>
        <w:tc>
          <w:tcPr>
            <w:tcW w:w="7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8%</w:t>
            </w:r>
          </w:p>
        </w:tc>
        <w:tc>
          <w:tcPr>
            <w:tcW w:w="10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92%</w:t>
            </w:r>
          </w:p>
        </w:tc>
        <w:tc>
          <w:tcPr>
            <w:tcW w:w="11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w:t>
            </w:r>
          </w:p>
        </w:tc>
        <w:tc>
          <w:tcPr>
            <w:tcW w:w="70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100%</w:t>
            </w:r>
          </w:p>
        </w:tc>
      </w:tr>
      <w:tr w:rsidR="00361DC8" w:rsidRPr="000962E9" w:rsidTr="00D008B4">
        <w:trPr>
          <w:trHeight w:val="288"/>
          <w:jc w:val="center"/>
        </w:trPr>
        <w:tc>
          <w:tcPr>
            <w:tcW w:w="1300"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Corporation</w:t>
            </w:r>
          </w:p>
        </w:tc>
        <w:tc>
          <w:tcPr>
            <w:tcW w:w="7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5.7%</w:t>
            </w:r>
          </w:p>
        </w:tc>
        <w:tc>
          <w:tcPr>
            <w:tcW w:w="10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89.6%</w:t>
            </w:r>
          </w:p>
        </w:tc>
        <w:tc>
          <w:tcPr>
            <w:tcW w:w="11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4.7%</w:t>
            </w:r>
          </w:p>
        </w:tc>
        <w:tc>
          <w:tcPr>
            <w:tcW w:w="70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100%</w:t>
            </w:r>
          </w:p>
        </w:tc>
      </w:tr>
      <w:tr w:rsidR="00361DC8" w:rsidRPr="000962E9" w:rsidTr="00D008B4">
        <w:trPr>
          <w:trHeight w:val="288"/>
          <w:jc w:val="center"/>
        </w:trPr>
        <w:tc>
          <w:tcPr>
            <w:tcW w:w="1300"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Total</w:t>
            </w:r>
          </w:p>
        </w:tc>
        <w:tc>
          <w:tcPr>
            <w:tcW w:w="7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10%</w:t>
            </w:r>
          </w:p>
        </w:tc>
        <w:tc>
          <w:tcPr>
            <w:tcW w:w="1059"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87%</w:t>
            </w:r>
          </w:p>
        </w:tc>
        <w:tc>
          <w:tcPr>
            <w:tcW w:w="11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3%</w:t>
            </w:r>
          </w:p>
        </w:tc>
        <w:tc>
          <w:tcPr>
            <w:tcW w:w="70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100%</w:t>
            </w:r>
          </w:p>
        </w:tc>
      </w:tr>
    </w:tbl>
    <w:p w:rsidR="00361DC8" w:rsidRPr="000962E9" w:rsidRDefault="00361DC8"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Table 2 presents the frequency and compliance status by tax return preparation mode. Summarised evidence on variations in compliance characteristics among the three categories of tax return preparation mode is also provided in the same table. </w:t>
      </w: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The self-preparation mode represents cases whereby taxpayers did not engage the services of a tax practitioner in the preparation and filing of the returns. </w:t>
      </w:r>
    </w:p>
    <w:p w:rsidR="00361DC8" w:rsidRPr="000962E9" w:rsidRDefault="00361DC8" w:rsidP="000962E9">
      <w:pPr>
        <w:jc w:val="both"/>
        <w:rPr>
          <w:rFonts w:eastAsia="Times New Roman" w:cs="Arial"/>
          <w:b/>
          <w:szCs w:val="24"/>
          <w:lang w:val="en-GB"/>
        </w:rPr>
      </w:pPr>
    </w:p>
    <w:p w:rsidR="00361DC8" w:rsidRPr="000962E9" w:rsidRDefault="00361DC8" w:rsidP="000962E9">
      <w:pPr>
        <w:jc w:val="center"/>
        <w:rPr>
          <w:rFonts w:eastAsia="Times New Roman" w:cs="Arial"/>
          <w:b/>
          <w:szCs w:val="24"/>
          <w:lang w:val="en-GB"/>
        </w:rPr>
      </w:pPr>
      <w:r w:rsidRPr="000962E9">
        <w:rPr>
          <w:rFonts w:eastAsia="Times New Roman" w:cs="Arial"/>
          <w:b/>
          <w:szCs w:val="24"/>
          <w:lang w:val="en-GB"/>
        </w:rPr>
        <w:t>Table 2: Frequency and compliance status by preparation mode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tblPr>
      <w:tblGrid>
        <w:gridCol w:w="2898"/>
        <w:gridCol w:w="1530"/>
        <w:gridCol w:w="1620"/>
        <w:gridCol w:w="1649"/>
        <w:gridCol w:w="1548"/>
      </w:tblGrid>
      <w:tr w:rsidR="00361DC8" w:rsidRPr="00D008B4" w:rsidTr="00D008B4">
        <w:trPr>
          <w:trHeight w:val="288"/>
          <w:jc w:val="center"/>
        </w:trPr>
        <w:tc>
          <w:tcPr>
            <w:tcW w:w="1567" w:type="pct"/>
            <w:vMerge w:val="restar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tcPr>
          <w:p w:rsidR="00361DC8" w:rsidRPr="00D008B4" w:rsidRDefault="00361DC8" w:rsidP="00D008B4">
            <w:pPr>
              <w:jc w:val="both"/>
              <w:rPr>
                <w:rFonts w:eastAsia="Times New Roman" w:cs="Arial"/>
                <w:b/>
                <w:szCs w:val="24"/>
                <w:lang w:val="en-GB"/>
              </w:rPr>
            </w:pPr>
            <w:r w:rsidRPr="00D008B4">
              <w:rPr>
                <w:rFonts w:eastAsia="Times New Roman" w:cs="Arial"/>
                <w:szCs w:val="24"/>
                <w:lang w:val="en-GB"/>
              </w:rPr>
              <w:t> </w:t>
            </w:r>
            <w:r w:rsidRPr="00D008B4">
              <w:rPr>
                <w:rFonts w:eastAsia="Times New Roman" w:cs="Arial"/>
                <w:b/>
                <w:szCs w:val="24"/>
                <w:lang w:val="en-GB"/>
              </w:rPr>
              <w:t>ATTRIBUTE</w:t>
            </w:r>
          </w:p>
        </w:tc>
        <w:tc>
          <w:tcPr>
            <w:tcW w:w="2595"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D008B4" w:rsidRDefault="00361DC8" w:rsidP="000962E9">
            <w:pPr>
              <w:jc w:val="both"/>
              <w:rPr>
                <w:rFonts w:eastAsia="Times New Roman" w:cs="Arial"/>
                <w:b/>
                <w:szCs w:val="24"/>
                <w:lang w:val="en-GB"/>
              </w:rPr>
            </w:pPr>
            <w:r w:rsidRPr="00D008B4">
              <w:rPr>
                <w:rFonts w:eastAsia="Times New Roman" w:cs="Arial"/>
                <w:b/>
                <w:szCs w:val="24"/>
                <w:lang w:val="en-GB"/>
              </w:rPr>
              <w:t>TAX RETURN PREPARATION MODE</w:t>
            </w:r>
          </w:p>
        </w:tc>
        <w:tc>
          <w:tcPr>
            <w:tcW w:w="837" w:type="pct"/>
            <w:vMerge w:val="restar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tcPr>
          <w:p w:rsidR="00361DC8" w:rsidRPr="00D008B4" w:rsidRDefault="00361DC8" w:rsidP="00D008B4">
            <w:pPr>
              <w:jc w:val="both"/>
              <w:rPr>
                <w:rFonts w:eastAsia="Times New Roman" w:cs="Arial"/>
                <w:b/>
                <w:szCs w:val="24"/>
                <w:lang w:val="en-GB"/>
              </w:rPr>
            </w:pPr>
            <w:r w:rsidRPr="00D008B4">
              <w:rPr>
                <w:rFonts w:eastAsia="Times New Roman" w:cs="Arial"/>
                <w:b/>
                <w:szCs w:val="24"/>
                <w:lang w:val="en-GB"/>
              </w:rPr>
              <w:t>AVERAGE</w:t>
            </w:r>
          </w:p>
        </w:tc>
      </w:tr>
      <w:tr w:rsidR="00361DC8" w:rsidRPr="00D008B4" w:rsidTr="00D008B4">
        <w:trPr>
          <w:trHeight w:val="288"/>
          <w:jc w:val="center"/>
        </w:trPr>
        <w:tc>
          <w:tcPr>
            <w:tcW w:w="1567" w:type="pct"/>
            <w:vMerge/>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rsidR="00361DC8" w:rsidRPr="00D008B4" w:rsidRDefault="00361DC8" w:rsidP="000962E9">
            <w:pPr>
              <w:jc w:val="both"/>
              <w:rPr>
                <w:rFonts w:eastAsia="Times New Roman" w:cs="Arial"/>
                <w:b/>
                <w:szCs w:val="24"/>
                <w:lang w:val="en-GB"/>
              </w:rPr>
            </w:pPr>
          </w:p>
        </w:tc>
        <w:tc>
          <w:tcPr>
            <w:tcW w:w="827" w:type="pc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D008B4" w:rsidRDefault="00361DC8" w:rsidP="000962E9">
            <w:pPr>
              <w:jc w:val="both"/>
              <w:rPr>
                <w:rFonts w:eastAsia="Times New Roman" w:cs="Arial"/>
                <w:b/>
                <w:szCs w:val="24"/>
                <w:lang w:val="en-GB"/>
              </w:rPr>
            </w:pPr>
            <w:r w:rsidRPr="00D008B4">
              <w:rPr>
                <w:rFonts w:eastAsia="Times New Roman" w:cs="Arial"/>
                <w:b/>
                <w:szCs w:val="24"/>
                <w:lang w:val="en-GB"/>
              </w:rPr>
              <w:t>Self</w:t>
            </w:r>
          </w:p>
        </w:tc>
        <w:tc>
          <w:tcPr>
            <w:tcW w:w="876" w:type="pc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D008B4" w:rsidRDefault="00361DC8" w:rsidP="000962E9">
            <w:pPr>
              <w:jc w:val="both"/>
              <w:rPr>
                <w:rFonts w:eastAsia="Times New Roman" w:cs="Arial"/>
                <w:b/>
                <w:szCs w:val="24"/>
                <w:lang w:val="en-GB"/>
              </w:rPr>
            </w:pPr>
            <w:r w:rsidRPr="00D008B4">
              <w:rPr>
                <w:rFonts w:eastAsia="Times New Roman" w:cs="Arial"/>
                <w:b/>
                <w:szCs w:val="24"/>
                <w:lang w:val="en-GB"/>
              </w:rPr>
              <w:t>Practitioner I</w:t>
            </w:r>
          </w:p>
        </w:tc>
        <w:tc>
          <w:tcPr>
            <w:tcW w:w="892" w:type="pct"/>
            <w:tcBorders>
              <w:top w:val="single" w:sz="12" w:space="0" w:color="auto"/>
              <w:left w:val="single" w:sz="12" w:space="0" w:color="auto"/>
              <w:bottom w:val="single" w:sz="12" w:space="0" w:color="auto"/>
              <w:right w:val="single" w:sz="12" w:space="0" w:color="auto"/>
            </w:tcBorders>
            <w:shd w:val="clear" w:color="auto" w:fill="C6D9F1" w:themeFill="text2" w:themeFillTint="33"/>
            <w:noWrap/>
            <w:vAlign w:val="center"/>
            <w:hideMark/>
          </w:tcPr>
          <w:p w:rsidR="00361DC8" w:rsidRPr="00D008B4" w:rsidRDefault="00361DC8" w:rsidP="000962E9">
            <w:pPr>
              <w:jc w:val="both"/>
              <w:rPr>
                <w:rFonts w:eastAsia="Times New Roman" w:cs="Arial"/>
                <w:b/>
                <w:szCs w:val="24"/>
                <w:lang w:val="en-GB"/>
              </w:rPr>
            </w:pPr>
            <w:r w:rsidRPr="00D008B4">
              <w:rPr>
                <w:rFonts w:eastAsia="Times New Roman" w:cs="Arial"/>
                <w:b/>
                <w:szCs w:val="24"/>
                <w:lang w:val="en-GB"/>
              </w:rPr>
              <w:t>Practitioner II</w:t>
            </w:r>
          </w:p>
        </w:tc>
        <w:tc>
          <w:tcPr>
            <w:tcW w:w="837" w:type="pct"/>
            <w:vMerge/>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hideMark/>
          </w:tcPr>
          <w:p w:rsidR="00361DC8" w:rsidRPr="00D008B4" w:rsidRDefault="00361DC8" w:rsidP="000962E9">
            <w:pPr>
              <w:jc w:val="both"/>
              <w:rPr>
                <w:rFonts w:eastAsia="Times New Roman" w:cs="Arial"/>
                <w:b/>
                <w:szCs w:val="24"/>
                <w:lang w:val="en-GB"/>
              </w:rPr>
            </w:pPr>
          </w:p>
        </w:tc>
      </w:tr>
      <w:tr w:rsidR="00361DC8" w:rsidRPr="00D008B4" w:rsidTr="00D008B4">
        <w:trPr>
          <w:trHeight w:val="564"/>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 of taxpayers with over-declared income</w:t>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4.9</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3.1</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0</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3.2</w:t>
            </w:r>
          </w:p>
        </w:tc>
      </w:tr>
      <w:tr w:rsidR="00361DC8" w:rsidRPr="00D008B4" w:rsidTr="00D008B4">
        <w:trPr>
          <w:trHeight w:val="288"/>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Average over-declared income in shillings</w:t>
            </w:r>
            <w:r w:rsidRPr="00D008B4">
              <w:rPr>
                <w:rFonts w:eastAsia="Times New Roman" w:cs="Arial"/>
                <w:szCs w:val="24"/>
                <w:vertAlign w:val="superscript"/>
                <w:lang w:val="en-GB"/>
              </w:rPr>
              <w:footnoteReference w:id="6"/>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2,202,817</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141,988,549</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0</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114,765,648</w:t>
            </w:r>
          </w:p>
        </w:tc>
      </w:tr>
      <w:tr w:rsidR="00361DC8" w:rsidRPr="00D008B4" w:rsidTr="00D008B4">
        <w:trPr>
          <w:trHeight w:val="288"/>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 of compliant taxpayers</w:t>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38.3</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4.2</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30.8</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 8.3</w:t>
            </w:r>
          </w:p>
        </w:tc>
      </w:tr>
      <w:tr w:rsidR="00361DC8" w:rsidRPr="00D008B4" w:rsidTr="00D008B4">
        <w:trPr>
          <w:trHeight w:val="564"/>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 of taxpayers with under-declared income</w:t>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56.8</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92.7</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69.2</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88.4</w:t>
            </w:r>
          </w:p>
        </w:tc>
      </w:tr>
      <w:tr w:rsidR="00361DC8" w:rsidRPr="00D008B4" w:rsidTr="00D008B4">
        <w:trPr>
          <w:trHeight w:val="324"/>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Average under-declared income in shillings</w:t>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29,076,000 </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49,975,488</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228,044,66</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 51,145,566</w:t>
            </w:r>
          </w:p>
        </w:tc>
      </w:tr>
      <w:tr w:rsidR="00361DC8" w:rsidRPr="00D008B4" w:rsidTr="00D008B4">
        <w:trPr>
          <w:trHeight w:val="288"/>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Mean level of non-compliance</w:t>
            </w:r>
            <w:r w:rsidRPr="00D008B4">
              <w:rPr>
                <w:rFonts w:eastAsia="Times New Roman" w:cs="Arial"/>
                <w:szCs w:val="24"/>
                <w:vertAlign w:val="superscript"/>
                <w:lang w:val="en-GB"/>
              </w:rPr>
              <w:footnoteReference w:id="7"/>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40.2%</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88.7%</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92.1%</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83.9%</w:t>
            </w:r>
          </w:p>
        </w:tc>
      </w:tr>
      <w:tr w:rsidR="00361DC8" w:rsidRPr="00D008B4" w:rsidTr="00D008B4">
        <w:trPr>
          <w:trHeight w:val="288"/>
          <w:jc w:val="center"/>
        </w:trPr>
        <w:tc>
          <w:tcPr>
            <w:tcW w:w="1567"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361DC8" w:rsidRPr="00D008B4" w:rsidRDefault="00361DC8" w:rsidP="00D008B4">
            <w:pPr>
              <w:rPr>
                <w:rFonts w:eastAsia="Times New Roman" w:cs="Arial"/>
                <w:szCs w:val="24"/>
                <w:lang w:val="en-GB"/>
              </w:rPr>
            </w:pPr>
            <w:r w:rsidRPr="00D008B4">
              <w:rPr>
                <w:rFonts w:eastAsia="Times New Roman" w:cs="Arial"/>
                <w:szCs w:val="24"/>
                <w:lang w:val="en-GB"/>
              </w:rPr>
              <w:t>Standard Deviation</w:t>
            </w:r>
          </w:p>
        </w:tc>
        <w:tc>
          <w:tcPr>
            <w:tcW w:w="82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57.8</w:t>
            </w:r>
          </w:p>
        </w:tc>
        <w:tc>
          <w:tcPr>
            <w:tcW w:w="876"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162.2</w:t>
            </w:r>
          </w:p>
        </w:tc>
        <w:tc>
          <w:tcPr>
            <w:tcW w:w="892"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165.2</w:t>
            </w:r>
          </w:p>
        </w:tc>
        <w:tc>
          <w:tcPr>
            <w:tcW w:w="837" w:type="pct"/>
            <w:tcBorders>
              <w:top w:val="single" w:sz="12" w:space="0" w:color="auto"/>
              <w:left w:val="single" w:sz="12" w:space="0" w:color="auto"/>
              <w:bottom w:val="single" w:sz="12" w:space="0" w:color="auto"/>
              <w:right w:val="single" w:sz="12" w:space="0" w:color="auto"/>
            </w:tcBorders>
            <w:shd w:val="clear" w:color="auto" w:fill="FFFFFF"/>
            <w:noWrap/>
            <w:vAlign w:val="center"/>
            <w:hideMark/>
          </w:tcPr>
          <w:p w:rsidR="00361DC8" w:rsidRPr="00D008B4" w:rsidRDefault="00361DC8" w:rsidP="000962E9">
            <w:pPr>
              <w:jc w:val="both"/>
              <w:rPr>
                <w:rFonts w:eastAsia="Times New Roman" w:cs="Arial"/>
                <w:szCs w:val="24"/>
                <w:lang w:val="en-GB"/>
              </w:rPr>
            </w:pPr>
            <w:r w:rsidRPr="00D008B4">
              <w:rPr>
                <w:rFonts w:eastAsia="Times New Roman" w:cs="Arial"/>
                <w:szCs w:val="24"/>
                <w:lang w:val="en-GB"/>
              </w:rPr>
              <w:t>155.7</w:t>
            </w:r>
          </w:p>
        </w:tc>
      </w:tr>
    </w:tbl>
    <w:p w:rsidR="00361DC8" w:rsidRPr="000962E9" w:rsidRDefault="00361DC8"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As pointed out above, only 10 per cent of all returns fall into this category. Compared with the two other preparation modes, the frequency of over-declaration of taxable income is highest at 4.9 per cent of all self-prepared returns. It is interesting to note that for practitioner category II, not even a single tax return existed where there was an over-declared taxable income. These raw data show that the average over-declared taxable income was lower for self-preparation mode at shillings 2.2 million compared to shillings 141.9 million for tax practitioner mode I category. </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The percentage of compliant tax returns turned to be highest in the self-preparation mode at 38.3 per cent, followed by tax practitioner mode category II at 30.8 per cent. The percentage of compliant returns was lowest at a mere 4.3 per cent for the tax </w:t>
      </w:r>
      <w:r w:rsidRPr="000962E9">
        <w:rPr>
          <w:rFonts w:eastAsia="Times New Roman" w:cs="Arial"/>
          <w:szCs w:val="24"/>
          <w:lang w:val="en-GB"/>
        </w:rPr>
        <w:lastRenderedPageBreak/>
        <w:t>practitioner mode category I. As for under-declaration of taxable income, it is again interesting to note that the self-preparation mode has the lowest frequency at 56.8 per cent of all tax returns that were self-prepared, followed by 69.2 per cent of all tax returns prepared with the assistance of category II tax practitioners. The frequency of under-declared taxable income for tax returns prepared with the help of category I tax practitioners was highest at 92.7 per cent. The average under-declared income was highest in category II tax practitioner-prepared returns, followed by category I tax practitioner-prepared returns and self-prepared practitioner returns, in that order.</w:t>
      </w:r>
    </w:p>
    <w:p w:rsidR="00361DC8" w:rsidRDefault="00361DC8" w:rsidP="000962E9">
      <w:pPr>
        <w:jc w:val="both"/>
        <w:rPr>
          <w:rFonts w:eastAsia="Times New Roman" w:cs="Arial"/>
          <w:szCs w:val="24"/>
          <w:lang w:val="en-GB"/>
        </w:rPr>
      </w:pPr>
      <w:r w:rsidRPr="000962E9">
        <w:rPr>
          <w:rFonts w:eastAsia="Times New Roman" w:cs="Arial"/>
          <w:szCs w:val="24"/>
          <w:lang w:val="en-GB"/>
        </w:rPr>
        <w:t>It is important also to note that the mean level of non-compliance was highest in category II tax practitioner-prepared returns, followed by category I tax practitioner-prepared returns and self-prepared returns. In general, it can be concluded that self-prepared tax returns have a lower than average non-compliance level in terms of percentage of taxpayers with under-declared taxable income, amount of under-declared income per taxpayer and mean level of non-compliance. Comparing the two categories of tax practitioners, category II tax practitioner group out-shines category I in the percentage of taxpayers with under-declared income by having a smaller number of under-declarations. Category I tax practitioner group was less non-compliant both in terms of the average amount of under-declared taxable income and the mean level of non-compliance.</w:t>
      </w:r>
    </w:p>
    <w:p w:rsidR="00D008B4" w:rsidRPr="000962E9" w:rsidRDefault="00D008B4" w:rsidP="000962E9">
      <w:pPr>
        <w:jc w:val="both"/>
        <w:rPr>
          <w:rFonts w:eastAsia="Times New Roman" w:cs="Arial"/>
          <w:szCs w:val="24"/>
          <w:lang w:val="en-GB"/>
        </w:rPr>
      </w:pPr>
    </w:p>
    <w:p w:rsidR="00D008B4" w:rsidRDefault="00D008B4">
      <w:pPr>
        <w:rPr>
          <w:rFonts w:eastAsia="Times New Roman" w:cs="Arial"/>
          <w:b/>
          <w:szCs w:val="24"/>
          <w:lang w:val="en-GB"/>
        </w:rPr>
      </w:pPr>
      <w:r>
        <w:rPr>
          <w:rFonts w:eastAsia="Times New Roman" w:cs="Arial"/>
          <w:b/>
          <w:szCs w:val="24"/>
          <w:lang w:val="en-GB"/>
        </w:rPr>
        <w:br w:type="page"/>
      </w:r>
    </w:p>
    <w:p w:rsidR="00361DC8" w:rsidRPr="000962E9" w:rsidRDefault="00842EAC" w:rsidP="00D008B4">
      <w:pPr>
        <w:pStyle w:val="Heading1"/>
        <w:rPr>
          <w:rFonts w:eastAsia="Times New Roman"/>
          <w:lang w:val="en-GB"/>
        </w:rPr>
      </w:pPr>
      <w:bookmarkStart w:id="25" w:name="_Toc349636421"/>
      <w:r w:rsidRPr="000962E9">
        <w:rPr>
          <w:rFonts w:eastAsia="Times New Roman"/>
          <w:lang w:val="en-GB"/>
        </w:rPr>
        <w:lastRenderedPageBreak/>
        <w:t>5.0</w:t>
      </w:r>
      <w:r w:rsidRPr="000962E9">
        <w:rPr>
          <w:rFonts w:eastAsia="Times New Roman"/>
          <w:lang w:val="en-GB"/>
        </w:rPr>
        <w:tab/>
      </w:r>
      <w:r w:rsidR="00361DC8" w:rsidRPr="000962E9">
        <w:rPr>
          <w:rFonts w:eastAsia="Times New Roman"/>
          <w:lang w:val="en-GB"/>
        </w:rPr>
        <w:t>ESTIMATION RESULTS</w:t>
      </w:r>
      <w:bookmarkEnd w:id="25"/>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Regression analysis was used to estimate the model for non-compliance. The model was initially estimated using the OLS technique. The test of multicollineality among independent variables was performed to check if there is strong linear association between the three independent variables. The lower values of the Variance Inflation Factor (VIF) for all variables suggest that the model does not suffer multicollineality. According to Gujarati and Porter (2009), VIF values of 10 or higher indicate the presence of strong multicollineality.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The Durbin-Watson (DW) </w:t>
      </w:r>
      <w:r w:rsidRPr="000962E9">
        <w:rPr>
          <w:rFonts w:eastAsia="Times New Roman" w:cs="Arial"/>
          <w:i/>
          <w:szCs w:val="24"/>
          <w:lang w:val="en-GB"/>
        </w:rPr>
        <w:t xml:space="preserve">d </w:t>
      </w:r>
      <w:r w:rsidRPr="000962E9">
        <w:rPr>
          <w:rFonts w:eastAsia="Times New Roman" w:cs="Arial"/>
          <w:szCs w:val="24"/>
          <w:lang w:val="en-GB"/>
        </w:rPr>
        <w:t xml:space="preserve">statistic was used to test autocorrelation, and with DW = 1.93, the model can be said not to suffer serious autocorrelation problems. Using Glejser test, the initial model was found to suffer heteroscedasticity which was corrected by using Weighted Least Squares (WLS) method.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The results of the re-estimated model are presented in Table 3 below. The overall test of model significance indicates that the model is significant as indicated by the size of R</w:t>
      </w:r>
      <w:r w:rsidRPr="000962E9">
        <w:rPr>
          <w:rFonts w:eastAsia="Times New Roman" w:cs="Arial"/>
          <w:szCs w:val="24"/>
          <w:vertAlign w:val="superscript"/>
          <w:lang w:val="en-GB"/>
        </w:rPr>
        <w:t>2</w:t>
      </w:r>
      <w:r w:rsidRPr="000962E9">
        <w:rPr>
          <w:rFonts w:eastAsia="Times New Roman" w:cs="Arial"/>
          <w:szCs w:val="24"/>
          <w:lang w:val="en-GB"/>
        </w:rPr>
        <w:t xml:space="preserve"> with significant F-test and large Log-likelihood ratio. </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As summarised in Table 3, the results of the regression analysis indicate that there is general non-compliance of taxpayers of about 32.7% as indicated by the constant value (</w:t>
      </w:r>
      <w:r w:rsidRPr="000962E9">
        <w:rPr>
          <w:rFonts w:eastAsia="Times New Roman" w:cs="Arial"/>
          <w:i/>
          <w:szCs w:val="24"/>
          <w:lang w:val="en-GB"/>
        </w:rPr>
        <w:t>α</w:t>
      </w:r>
      <w:r w:rsidRPr="000962E9">
        <w:rPr>
          <w:rFonts w:eastAsia="Times New Roman" w:cs="Arial"/>
          <w:szCs w:val="24"/>
          <w:lang w:val="en-GB"/>
        </w:rPr>
        <w:t>). The effect of the level of tax morale, as measured by the previous compliance level (</w:t>
      </w:r>
      <w:r w:rsidRPr="000962E9">
        <w:rPr>
          <w:rFonts w:eastAsia="Times New Roman" w:cs="Arial"/>
          <w:i/>
          <w:szCs w:val="24"/>
          <w:lang w:val="en-GB"/>
        </w:rPr>
        <w:t>X</w:t>
      </w:r>
      <w:r w:rsidRPr="000962E9">
        <w:rPr>
          <w:rFonts w:eastAsia="Times New Roman" w:cs="Arial"/>
          <w:i/>
          <w:szCs w:val="24"/>
          <w:vertAlign w:val="subscript"/>
          <w:lang w:val="en-GB"/>
        </w:rPr>
        <w:t>2</w:t>
      </w:r>
      <w:r w:rsidRPr="000962E9">
        <w:rPr>
          <w:rFonts w:eastAsia="Times New Roman" w:cs="Arial"/>
          <w:szCs w:val="24"/>
          <w:lang w:val="en-GB"/>
        </w:rPr>
        <w:t>), is found to have an insignificant positive influence on taxpayer non-compliance level, implying that it fosters, in an insignificant way, taxpayer non-compliance. It would appear from these results that the previous level of taxpayer compliance does not necessarily reflect the level of tax morale. It would seem necessary first to segregate the previous level of compliance into a component attributable to tax morale and one attributable to other factors if one were to use the previous level of compliance as a proxy for tax morale.</w:t>
      </w:r>
    </w:p>
    <w:p w:rsidR="00361DC8" w:rsidRPr="000962E9" w:rsidRDefault="00361DC8" w:rsidP="000962E9">
      <w:pPr>
        <w:jc w:val="both"/>
        <w:rPr>
          <w:rFonts w:eastAsia="Times New Roman" w:cs="Arial"/>
          <w:b/>
          <w:szCs w:val="24"/>
          <w:lang w:val="en-GB"/>
        </w:rPr>
      </w:pPr>
      <w:bookmarkStart w:id="26" w:name="_Toc273093700"/>
      <w:bookmarkStart w:id="27" w:name="_Toc273093699"/>
    </w:p>
    <w:p w:rsidR="00361DC8" w:rsidRPr="000962E9" w:rsidRDefault="00361DC8" w:rsidP="00D008B4">
      <w:pPr>
        <w:jc w:val="center"/>
        <w:rPr>
          <w:rFonts w:eastAsia="Times New Roman" w:cs="Arial"/>
          <w:b/>
          <w:szCs w:val="24"/>
          <w:lang w:val="en-GB"/>
        </w:rPr>
      </w:pPr>
      <w:r w:rsidRPr="000962E9">
        <w:rPr>
          <w:rFonts w:eastAsia="Times New Roman" w:cs="Arial"/>
          <w:b/>
          <w:szCs w:val="24"/>
          <w:lang w:val="en-GB"/>
        </w:rPr>
        <w:t>Table 3: Results of the regression analysis</w:t>
      </w: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367"/>
        <w:gridCol w:w="1231"/>
        <w:gridCol w:w="1599"/>
        <w:gridCol w:w="1300"/>
        <w:gridCol w:w="1300"/>
        <w:gridCol w:w="1448"/>
      </w:tblGrid>
      <w:tr w:rsidR="00361DC8" w:rsidRPr="000962E9" w:rsidTr="00D008B4">
        <w:trPr>
          <w:jc w:val="center"/>
        </w:trPr>
        <w:tc>
          <w:tcPr>
            <w:tcW w:w="1280" w:type="pct"/>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Parameter estimate</w:t>
            </w:r>
          </w:p>
        </w:tc>
        <w:tc>
          <w:tcPr>
            <w:tcW w:w="666" w:type="pct"/>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Beta</w:t>
            </w:r>
          </w:p>
        </w:tc>
        <w:tc>
          <w:tcPr>
            <w:tcW w:w="865" w:type="pct"/>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Std. Error</w:t>
            </w:r>
          </w:p>
        </w:tc>
        <w:tc>
          <w:tcPr>
            <w:tcW w:w="703" w:type="pct"/>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t-value</w:t>
            </w:r>
          </w:p>
        </w:tc>
        <w:tc>
          <w:tcPr>
            <w:tcW w:w="703" w:type="pct"/>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Prob.</w:t>
            </w:r>
          </w:p>
        </w:tc>
        <w:tc>
          <w:tcPr>
            <w:tcW w:w="784" w:type="pct"/>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b/>
                <w:szCs w:val="24"/>
                <w:lang w:val="en-GB"/>
              </w:rPr>
              <w:t>VIF</w:t>
            </w:r>
          </w:p>
        </w:tc>
      </w:tr>
      <w:tr w:rsidR="00361DC8" w:rsidRPr="000962E9" w:rsidTr="00D008B4">
        <w:trPr>
          <w:jc w:val="center"/>
        </w:trPr>
        <w:tc>
          <w:tcPr>
            <w:tcW w:w="1280"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 xml:space="preserve">Constant </w:t>
            </w:r>
          </w:p>
        </w:tc>
        <w:tc>
          <w:tcPr>
            <w:tcW w:w="666"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32.730</w:t>
            </w:r>
          </w:p>
        </w:tc>
        <w:tc>
          <w:tcPr>
            <w:tcW w:w="865"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0.189</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172.857</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0.000</w:t>
            </w:r>
          </w:p>
        </w:tc>
        <w:tc>
          <w:tcPr>
            <w:tcW w:w="784" w:type="pct"/>
            <w:tcBorders>
              <w:top w:val="single" w:sz="18" w:space="0" w:color="auto"/>
              <w:left w:val="single" w:sz="18" w:space="0" w:color="auto"/>
              <w:bottom w:val="single" w:sz="18" w:space="0" w:color="auto"/>
              <w:right w:val="single" w:sz="18" w:space="0" w:color="auto"/>
            </w:tcBorders>
            <w:vAlign w:val="center"/>
          </w:tcPr>
          <w:p w:rsidR="00361DC8" w:rsidRPr="000962E9" w:rsidRDefault="00361DC8" w:rsidP="000962E9">
            <w:pPr>
              <w:jc w:val="both"/>
              <w:rPr>
                <w:rFonts w:eastAsia="Times New Roman" w:cs="Arial"/>
                <w:szCs w:val="24"/>
                <w:lang w:val="en-GB"/>
              </w:rPr>
            </w:pPr>
          </w:p>
        </w:tc>
      </w:tr>
      <w:tr w:rsidR="00361DC8" w:rsidRPr="000962E9" w:rsidTr="00D008B4">
        <w:trPr>
          <w:jc w:val="center"/>
        </w:trPr>
        <w:tc>
          <w:tcPr>
            <w:tcW w:w="1280"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vertAlign w:val="subscript"/>
                <w:lang w:val="en-GB"/>
              </w:rPr>
            </w:pPr>
            <w:r w:rsidRPr="000962E9">
              <w:rPr>
                <w:rFonts w:eastAsia="Times New Roman" w:cs="Arial"/>
                <w:szCs w:val="24"/>
                <w:lang w:val="en-GB"/>
              </w:rPr>
              <w:t xml:space="preserve">Tax practitioner use </w:t>
            </w:r>
          </w:p>
        </w:tc>
        <w:tc>
          <w:tcPr>
            <w:tcW w:w="666"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39.811</w:t>
            </w:r>
          </w:p>
        </w:tc>
        <w:tc>
          <w:tcPr>
            <w:tcW w:w="865"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0.145</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274.662</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0.000</w:t>
            </w:r>
          </w:p>
        </w:tc>
        <w:tc>
          <w:tcPr>
            <w:tcW w:w="784"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1.004</w:t>
            </w:r>
          </w:p>
        </w:tc>
      </w:tr>
      <w:tr w:rsidR="00361DC8" w:rsidRPr="000962E9" w:rsidTr="00D008B4">
        <w:trPr>
          <w:jc w:val="center"/>
        </w:trPr>
        <w:tc>
          <w:tcPr>
            <w:tcW w:w="1280"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vertAlign w:val="subscript"/>
                <w:lang w:val="en-GB"/>
              </w:rPr>
            </w:pPr>
            <w:r w:rsidRPr="000962E9">
              <w:rPr>
                <w:rFonts w:eastAsia="Times New Roman" w:cs="Arial"/>
                <w:szCs w:val="24"/>
                <w:lang w:val="en-GB"/>
              </w:rPr>
              <w:t xml:space="preserve">Tax morale </w:t>
            </w:r>
          </w:p>
        </w:tc>
        <w:tc>
          <w:tcPr>
            <w:tcW w:w="666"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0.002</w:t>
            </w:r>
          </w:p>
        </w:tc>
        <w:tc>
          <w:tcPr>
            <w:tcW w:w="865"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0.002</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1.154</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0.249</w:t>
            </w:r>
          </w:p>
        </w:tc>
        <w:tc>
          <w:tcPr>
            <w:tcW w:w="784"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1.011</w:t>
            </w:r>
          </w:p>
        </w:tc>
      </w:tr>
      <w:tr w:rsidR="00361DC8" w:rsidRPr="000962E9" w:rsidTr="00D008B4">
        <w:trPr>
          <w:jc w:val="center"/>
        </w:trPr>
        <w:tc>
          <w:tcPr>
            <w:tcW w:w="1280"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vertAlign w:val="subscript"/>
                <w:lang w:val="en-GB"/>
              </w:rPr>
            </w:pPr>
            <w:r w:rsidRPr="000962E9">
              <w:rPr>
                <w:rFonts w:eastAsia="Times New Roman" w:cs="Arial"/>
                <w:szCs w:val="24"/>
                <w:lang w:val="en-GB"/>
              </w:rPr>
              <w:t xml:space="preserve">Income level </w:t>
            </w:r>
          </w:p>
        </w:tc>
        <w:tc>
          <w:tcPr>
            <w:tcW w:w="666"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vertAlign w:val="superscript"/>
                <w:lang w:val="en-GB"/>
              </w:rPr>
            </w:pPr>
            <w:r w:rsidRPr="000962E9">
              <w:rPr>
                <w:rFonts w:eastAsia="Times New Roman" w:cs="Arial"/>
                <w:szCs w:val="24"/>
                <w:lang w:val="en-GB"/>
              </w:rPr>
              <w:t>-2.7x10</w:t>
            </w:r>
            <w:r w:rsidRPr="000962E9">
              <w:rPr>
                <w:rFonts w:eastAsia="Times New Roman" w:cs="Arial"/>
                <w:szCs w:val="24"/>
                <w:vertAlign w:val="superscript"/>
                <w:lang w:val="en-GB"/>
              </w:rPr>
              <w:t>-5</w:t>
            </w:r>
          </w:p>
        </w:tc>
        <w:tc>
          <w:tcPr>
            <w:tcW w:w="865"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0.000</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3.584</w:t>
            </w:r>
          </w:p>
        </w:tc>
        <w:tc>
          <w:tcPr>
            <w:tcW w:w="703"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0.000</w:t>
            </w:r>
          </w:p>
        </w:tc>
        <w:tc>
          <w:tcPr>
            <w:tcW w:w="784"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1.015</w:t>
            </w:r>
          </w:p>
        </w:tc>
      </w:tr>
      <w:tr w:rsidR="00361DC8" w:rsidRPr="000962E9" w:rsidTr="00D008B4">
        <w:trPr>
          <w:jc w:val="center"/>
        </w:trPr>
        <w:tc>
          <w:tcPr>
            <w:tcW w:w="1280"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Adj. R</w:t>
            </w:r>
            <w:r w:rsidRPr="000962E9">
              <w:rPr>
                <w:rFonts w:eastAsia="Times New Roman" w:cs="Arial"/>
                <w:szCs w:val="24"/>
                <w:vertAlign w:val="superscript"/>
                <w:lang w:val="en-GB"/>
              </w:rPr>
              <w:t>2</w:t>
            </w:r>
            <w:r w:rsidRPr="000962E9">
              <w:rPr>
                <w:rFonts w:eastAsia="Times New Roman" w:cs="Arial"/>
                <w:szCs w:val="24"/>
                <w:lang w:val="en-GB"/>
              </w:rPr>
              <w:t xml:space="preserve"> = 0.99</w:t>
            </w:r>
          </w:p>
        </w:tc>
        <w:tc>
          <w:tcPr>
            <w:tcW w:w="1531" w:type="pct"/>
            <w:gridSpan w:val="2"/>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b/>
                <w:szCs w:val="24"/>
                <w:lang w:val="en-GB"/>
              </w:rPr>
            </w:pPr>
            <w:r w:rsidRPr="000962E9">
              <w:rPr>
                <w:rFonts w:eastAsia="Times New Roman" w:cs="Arial"/>
                <w:szCs w:val="24"/>
                <w:lang w:val="en-GB"/>
              </w:rPr>
              <w:t xml:space="preserve">Log-likelihood = </w:t>
            </w:r>
            <w:r w:rsidRPr="000962E9">
              <w:rPr>
                <w:rFonts w:eastAsia="Times New Roman" w:cs="Arial"/>
                <w:b/>
                <w:szCs w:val="24"/>
                <w:lang w:val="en-GB"/>
              </w:rPr>
              <w:t>-</w:t>
            </w:r>
            <w:r w:rsidRPr="000962E9">
              <w:rPr>
                <w:rFonts w:eastAsia="Times New Roman" w:cs="Arial"/>
                <w:szCs w:val="24"/>
                <w:lang w:val="en-GB"/>
              </w:rPr>
              <w:t>2486.6</w:t>
            </w:r>
          </w:p>
        </w:tc>
        <w:tc>
          <w:tcPr>
            <w:tcW w:w="1405" w:type="pct"/>
            <w:gridSpan w:val="2"/>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F = 188484.17**</w:t>
            </w:r>
          </w:p>
        </w:tc>
        <w:tc>
          <w:tcPr>
            <w:tcW w:w="784" w:type="pct"/>
            <w:tcBorders>
              <w:top w:val="single" w:sz="18" w:space="0" w:color="auto"/>
              <w:left w:val="single" w:sz="18" w:space="0" w:color="auto"/>
              <w:bottom w:val="single" w:sz="18" w:space="0" w:color="auto"/>
              <w:right w:val="single" w:sz="18" w:space="0" w:color="auto"/>
            </w:tcBorders>
            <w:vAlign w:val="center"/>
            <w:hideMark/>
          </w:tcPr>
          <w:p w:rsidR="00361DC8" w:rsidRPr="000962E9" w:rsidRDefault="00361DC8" w:rsidP="000962E9">
            <w:pPr>
              <w:jc w:val="both"/>
              <w:rPr>
                <w:rFonts w:eastAsia="Times New Roman" w:cs="Arial"/>
                <w:szCs w:val="24"/>
                <w:lang w:val="en-GB"/>
              </w:rPr>
            </w:pPr>
            <w:r w:rsidRPr="000962E9">
              <w:rPr>
                <w:rFonts w:eastAsia="Times New Roman" w:cs="Arial"/>
                <w:szCs w:val="24"/>
                <w:lang w:val="en-GB"/>
              </w:rPr>
              <w:t>DW = 1.93</w:t>
            </w:r>
          </w:p>
        </w:tc>
      </w:tr>
    </w:tbl>
    <w:p w:rsidR="00361DC8" w:rsidRPr="000962E9" w:rsidRDefault="00361DC8" w:rsidP="000962E9">
      <w:pPr>
        <w:jc w:val="both"/>
        <w:rPr>
          <w:rFonts w:eastAsia="Times New Roman" w:cs="Arial"/>
          <w:szCs w:val="24"/>
          <w:lang w:val="en-GB"/>
        </w:rPr>
      </w:pPr>
    </w:p>
    <w:p w:rsidR="00D008B4" w:rsidRDefault="00D008B4">
      <w:pPr>
        <w:rPr>
          <w:rFonts w:eastAsia="Times New Roman" w:cs="Arial"/>
          <w:szCs w:val="24"/>
          <w:lang w:val="en-GB"/>
        </w:rPr>
      </w:pPr>
      <w:r>
        <w:rPr>
          <w:rFonts w:eastAsia="Times New Roman" w:cs="Arial"/>
          <w:szCs w:val="24"/>
          <w:lang w:val="en-GB"/>
        </w:rPr>
        <w:br w:type="page"/>
      </w:r>
    </w:p>
    <w:p w:rsidR="00361DC8" w:rsidRDefault="00361DC8" w:rsidP="000962E9">
      <w:pPr>
        <w:jc w:val="both"/>
        <w:rPr>
          <w:rFonts w:eastAsia="Times New Roman" w:cs="Arial"/>
          <w:szCs w:val="24"/>
          <w:lang w:val="en-GB"/>
        </w:rPr>
      </w:pPr>
      <w:r w:rsidRPr="000962E9">
        <w:rPr>
          <w:rFonts w:eastAsia="Times New Roman" w:cs="Arial"/>
          <w:szCs w:val="24"/>
          <w:lang w:val="en-GB"/>
        </w:rPr>
        <w:lastRenderedPageBreak/>
        <w:t>The level of income of a taxpayer (</w:t>
      </w:r>
      <w:r w:rsidRPr="000962E9">
        <w:rPr>
          <w:rFonts w:eastAsia="Times New Roman" w:cs="Arial"/>
          <w:i/>
          <w:szCs w:val="24"/>
          <w:lang w:val="en-GB"/>
        </w:rPr>
        <w:t>X</w:t>
      </w:r>
      <w:r w:rsidRPr="000962E9">
        <w:rPr>
          <w:rFonts w:eastAsia="Times New Roman" w:cs="Arial"/>
          <w:i/>
          <w:szCs w:val="24"/>
          <w:vertAlign w:val="subscript"/>
          <w:lang w:val="en-GB"/>
        </w:rPr>
        <w:t>3</w:t>
      </w:r>
      <w:r w:rsidRPr="000962E9">
        <w:rPr>
          <w:rFonts w:eastAsia="Times New Roman" w:cs="Arial"/>
          <w:szCs w:val="24"/>
          <w:lang w:val="en-GB"/>
        </w:rPr>
        <w:t xml:space="preserve">), measured by business turnover, is found to have a negative influence on non-compliance, rendering support to previous studies in Tanzania. This implies that large enterprises comply more, on average, than small and/or medium enterprises.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Tax practitioners’ utilisation (</w:t>
      </w:r>
      <w:r w:rsidRPr="000962E9">
        <w:rPr>
          <w:rFonts w:eastAsia="Times New Roman" w:cs="Arial"/>
          <w:i/>
          <w:szCs w:val="24"/>
          <w:lang w:val="en-GB"/>
        </w:rPr>
        <w:t>X</w:t>
      </w:r>
      <w:r w:rsidRPr="000962E9">
        <w:rPr>
          <w:rFonts w:eastAsia="Times New Roman" w:cs="Arial"/>
          <w:i/>
          <w:szCs w:val="24"/>
          <w:vertAlign w:val="subscript"/>
          <w:lang w:val="en-GB"/>
        </w:rPr>
        <w:t>1</w:t>
      </w:r>
      <w:r w:rsidRPr="000962E9">
        <w:rPr>
          <w:rFonts w:eastAsia="Times New Roman" w:cs="Arial"/>
          <w:szCs w:val="24"/>
          <w:lang w:val="en-GB"/>
        </w:rPr>
        <w:t>) is found to positively and significantly influence taxpayer non-compliance; its parameter (</w:t>
      </w:r>
      <w:r w:rsidRPr="000962E9">
        <w:rPr>
          <w:rFonts w:eastAsia="Times New Roman" w:cs="Arial"/>
          <w:i/>
          <w:szCs w:val="24"/>
          <w:lang w:val="en-GB"/>
        </w:rPr>
        <w:t>β</w:t>
      </w:r>
      <w:r w:rsidRPr="000962E9">
        <w:rPr>
          <w:rFonts w:eastAsia="Times New Roman" w:cs="Arial"/>
          <w:i/>
          <w:szCs w:val="24"/>
          <w:vertAlign w:val="subscript"/>
          <w:lang w:val="en-GB"/>
        </w:rPr>
        <w:t>1</w:t>
      </w:r>
      <w:r w:rsidRPr="000962E9">
        <w:rPr>
          <w:rFonts w:eastAsia="Times New Roman" w:cs="Arial"/>
          <w:szCs w:val="24"/>
          <w:lang w:val="en-GB"/>
        </w:rPr>
        <w:t xml:space="preserve">) is not less than zero. The null hypothesis of this study is therefore rejected, suggesting that tax practitioners in Tanzania do not foster taxpayer compliance. It is therefore not surprising that, compared with self-prepared tax returns, returns prepared by either category I or category II tax practitioners had a lower frequency of compliant returns and a higher frequency of returns with under-declared taxable income. Nor is it surprising that for self-prepared tax returns, both the average under-declared taxable income per non-compliant return and the mean level of non-compliance was lower than for returns prepared with the assistance of either category I or category II tax practitioners (see Table 2).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The explanation for such a distinctly higher level of non-compliance for returns prepared with the assistance of tax practitioners remains largely a matter of speculation. If indeed, only an insignificant proportion of taxpayers objected to the tax authority-determined taxable income as the information collected by the authors suggest</w:t>
      </w:r>
      <w:r w:rsidRPr="000962E9">
        <w:rPr>
          <w:rFonts w:eastAsia="Times New Roman" w:cs="Arial"/>
          <w:szCs w:val="24"/>
          <w:vertAlign w:val="superscript"/>
          <w:lang w:val="en-GB"/>
        </w:rPr>
        <w:footnoteReference w:id="8"/>
      </w:r>
      <w:r w:rsidRPr="000962E9">
        <w:rPr>
          <w:rFonts w:eastAsia="Times New Roman" w:cs="Arial"/>
          <w:szCs w:val="24"/>
          <w:lang w:val="en-GB"/>
        </w:rPr>
        <w:t>, it can be concluded that the tax practitioners who had in the first place assisted in the preparation of the returns in question had no legal basis for their ‘aggressive’ positions. This would, indeed be quite puzzling as it would imply that the respective tax practitioners were not sufficiently knowledgeable about the requirements of the tax regime. However astonishing this might sound, this reasoning seems quite appealing. Going back to Table 2, it can be seen that out of all the 896 returns analysed, compliant returns, returns with over-declared taxable income and returns with under-declared taxable income were respectively 3.2, 8.3 and 88.4 per cent. The fact that in all three categories, returns prepared with the assistance of tax practitioners took a disproportionately larger share seems to render some support to the ignorance assumption.</w:t>
      </w:r>
    </w:p>
    <w:p w:rsidR="00D008B4" w:rsidRPr="000962E9" w:rsidRDefault="00D008B4" w:rsidP="000962E9">
      <w:pPr>
        <w:jc w:val="both"/>
        <w:rPr>
          <w:rFonts w:eastAsia="Times New Roman" w:cs="Arial"/>
          <w:szCs w:val="24"/>
          <w:lang w:val="en-GB"/>
        </w:rPr>
      </w:pPr>
    </w:p>
    <w:p w:rsidR="00D008B4" w:rsidRDefault="00361DC8" w:rsidP="000962E9">
      <w:pPr>
        <w:jc w:val="both"/>
        <w:rPr>
          <w:rFonts w:eastAsia="Times New Roman" w:cs="Arial"/>
          <w:szCs w:val="24"/>
          <w:lang w:val="en-GB"/>
        </w:rPr>
      </w:pPr>
      <w:r w:rsidRPr="000962E9">
        <w:rPr>
          <w:rFonts w:eastAsia="Times New Roman" w:cs="Arial"/>
          <w:szCs w:val="24"/>
          <w:lang w:val="en-GB"/>
        </w:rPr>
        <w:t xml:space="preserve">Alternatively, one may be tempted to question the integrity of individual tax auditors. The fact that as many as 91.7 per cent of the returns audited were found to be non-compliant, </w:t>
      </w:r>
      <w:r w:rsidR="00D008B4" w:rsidRPr="000962E9">
        <w:rPr>
          <w:rFonts w:eastAsia="Times New Roman" w:cs="Arial"/>
          <w:szCs w:val="24"/>
          <w:lang w:val="en-GB"/>
        </w:rPr>
        <w:t>resulting in</w:t>
      </w:r>
      <w:r w:rsidRPr="000962E9">
        <w:rPr>
          <w:rFonts w:eastAsia="Times New Roman" w:cs="Arial"/>
          <w:szCs w:val="24"/>
          <w:lang w:val="en-GB"/>
        </w:rPr>
        <w:t xml:space="preserve"> taxable income adjustment in more than half of the cases by at least 50 per cent, and yet only an insignificant number of taxpayers were </w:t>
      </w:r>
      <w:r w:rsidRPr="000962E9">
        <w:rPr>
          <w:rFonts w:eastAsia="Times New Roman" w:cs="Arial"/>
          <w:szCs w:val="24"/>
          <w:lang w:val="en-GB"/>
        </w:rPr>
        <w:lastRenderedPageBreak/>
        <w:t>sanctioned is also quite baffling</w:t>
      </w:r>
      <w:r w:rsidRPr="000962E9">
        <w:rPr>
          <w:rFonts w:eastAsia="Times New Roman" w:cs="Arial"/>
          <w:szCs w:val="24"/>
          <w:vertAlign w:val="superscript"/>
          <w:lang w:val="en-GB"/>
        </w:rPr>
        <w:footnoteReference w:id="9"/>
      </w:r>
      <w:r w:rsidRPr="000962E9">
        <w:rPr>
          <w:rFonts w:eastAsia="Times New Roman" w:cs="Arial"/>
          <w:szCs w:val="24"/>
          <w:lang w:val="en-GB"/>
        </w:rPr>
        <w:t xml:space="preserve">. Could this be a result of collusion in some cases between individual tax auditors and tax practitioners, in which case the extent of the adjustments officially introduced by the tax authority were a result of ‘unofficial negotiations’ between unscrupulous tax auditors and crooked tax practitioners? An objective response to this pertinent question, unfortunately, requires comprehensive data on both disputes resulting from adjustments introduced by the tax authority and sanctions imposed for noncompliance. </w:t>
      </w:r>
    </w:p>
    <w:p w:rsidR="00361DC8" w:rsidRPr="000962E9" w:rsidRDefault="00361DC8" w:rsidP="000962E9">
      <w:pPr>
        <w:jc w:val="both"/>
        <w:rPr>
          <w:rFonts w:eastAsia="Times New Roman" w:cs="Arial"/>
          <w:szCs w:val="24"/>
          <w:lang w:val="en-GB"/>
        </w:rPr>
      </w:pPr>
    </w:p>
    <w:p w:rsidR="00D008B4" w:rsidRDefault="00D008B4">
      <w:pPr>
        <w:rPr>
          <w:rFonts w:eastAsia="Times New Roman" w:cs="Arial"/>
          <w:b/>
          <w:szCs w:val="24"/>
          <w:lang w:val="en-GB"/>
        </w:rPr>
      </w:pPr>
      <w:r>
        <w:rPr>
          <w:rFonts w:eastAsia="Times New Roman" w:cs="Arial"/>
          <w:b/>
          <w:szCs w:val="24"/>
          <w:lang w:val="en-GB"/>
        </w:rPr>
        <w:br w:type="page"/>
      </w:r>
    </w:p>
    <w:p w:rsidR="00361DC8" w:rsidRPr="000962E9" w:rsidRDefault="00842EAC" w:rsidP="00D008B4">
      <w:pPr>
        <w:pStyle w:val="Heading1"/>
        <w:rPr>
          <w:rFonts w:eastAsia="Times New Roman"/>
          <w:lang w:val="en-GB"/>
        </w:rPr>
      </w:pPr>
      <w:bookmarkStart w:id="28" w:name="_Toc349636422"/>
      <w:r w:rsidRPr="000962E9">
        <w:rPr>
          <w:rFonts w:eastAsia="Times New Roman"/>
          <w:lang w:val="en-GB"/>
        </w:rPr>
        <w:lastRenderedPageBreak/>
        <w:t>6.0</w:t>
      </w:r>
      <w:r w:rsidRPr="000962E9">
        <w:rPr>
          <w:rFonts w:eastAsia="Times New Roman"/>
          <w:lang w:val="en-GB"/>
        </w:rPr>
        <w:tab/>
      </w:r>
      <w:r w:rsidR="00361DC8" w:rsidRPr="000962E9">
        <w:rPr>
          <w:rFonts w:eastAsia="Times New Roman"/>
          <w:lang w:val="en-GB"/>
        </w:rPr>
        <w:t>CONCLUSION</w:t>
      </w:r>
      <w:bookmarkEnd w:id="28"/>
    </w:p>
    <w:p w:rsidR="00D008B4"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It has been established in this paper that the previous level of taxpayer compliance is negatively related with the current level of taxpayer compliance. This result supports previous findings that knowledge of the enforcement strategy of the tax authority tends to make taxpayers take more aggressive positions in future. Since the previous level of compliance could only be determined for taxpayers who had previously been audited, it implies that each of them had better knowledge of the enforcement strategy of the tax authority and could be expected to behave more aggressively. Similarly, the study corroborates previous findings that the level of income is positively related to taxpayer compliance. The implication of these findings for compliance management in Tanzania is that taxpayer compliance risk decreases as income increases. Furthermore, these results imply that a previous higher taxpayer compliance level is not associated with a lower taxpayer compliance risk.</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It has also been unequivocally shown that the level of taxpayer non-compliance is higher for tax returns prepared with the assistance of tax practitioners than for self-prepared tax returns.  Moreover, through the results of regression analysis, the hypothesis that tax practitioners reduce taxpayer non-compliance has been indisputably rejected. However, for anyone to practise as a tax practitioner in Tanzania, he or she must be approved by the tax authority. It is reasonable therefore to assume that, in the approval process for any such applicant, the tax authority ensures at the very minimum that the applicant has the necessary technical proficiency to assist taxpayers to comply with the requirements of the tax regime.  It is also reasonable to postulate that the tax authority also seeks to satisfy itself of the professional integrity of any one applying to be a tax practitioner.  The findings of this study call into question the validity of these assumptions.</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As a matter of fact, the results of our analysis suggest calling into question the professional competence or integrity of tax practitioners or tax officers or both. The fact that the frequency of non-compliance in tax returns prepared with the assistance of tax practitioners was found to be higher and that objections to additional assessments were negligible, calls into question the proficiency standing of tax practitioners.  Alternatively, the integrity of individual tax practitioners and individual tax officials would have to be open to question, in case the non-compliance detected by the tax authority was not a result of ignorance on the part of the respective tax practitioners and yet only an insignificant number of non-compliant taxpayers suffered any sanction. </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 xml:space="preserve">Whether the explanation for the negative role of tax practitioners in taxpayer compliance lies in inadequate proficiency or poor integrity, the need to incorporate tax practitioners in the on-going efforts to enhance taxpayer compliance cannot be </w:t>
      </w:r>
      <w:r w:rsidRPr="000962E9">
        <w:rPr>
          <w:rFonts w:eastAsia="Times New Roman" w:cs="Arial"/>
          <w:szCs w:val="24"/>
          <w:lang w:val="en-GB"/>
        </w:rPr>
        <w:lastRenderedPageBreak/>
        <w:t>overstated. It would appear that a more effective tax practitioner oversight framework in Tanzania is called for. This would prevent unqualified tax practitioners from practising while at the same time subjecting tax practitioners to ethical standards that promote a tax compliance culture.</w:t>
      </w:r>
    </w:p>
    <w:p w:rsidR="00D008B4" w:rsidRPr="000962E9" w:rsidRDefault="00D008B4" w:rsidP="000962E9">
      <w:pPr>
        <w:jc w:val="both"/>
        <w:rPr>
          <w:rFonts w:eastAsia="Times New Roman" w:cs="Arial"/>
          <w:szCs w:val="24"/>
          <w:lang w:val="en-GB"/>
        </w:rPr>
      </w:pPr>
    </w:p>
    <w:p w:rsidR="00361DC8" w:rsidRDefault="00361DC8" w:rsidP="000962E9">
      <w:pPr>
        <w:jc w:val="both"/>
        <w:rPr>
          <w:rFonts w:eastAsia="Times New Roman" w:cs="Arial"/>
          <w:szCs w:val="24"/>
          <w:lang w:val="en-GB"/>
        </w:rPr>
      </w:pPr>
      <w:r w:rsidRPr="000962E9">
        <w:rPr>
          <w:rFonts w:eastAsia="Times New Roman" w:cs="Arial"/>
          <w:szCs w:val="24"/>
          <w:lang w:val="en-GB"/>
        </w:rPr>
        <w:t>It would appear that such an oversight framework needs to have an element of self-regulation in addition to a more elaborate regulatory mechanism by the tax authority. In concrete terms, the former would entail the establishment of a tax professional body. It is certainly in the best interest of the tax authority to do both i.e. put in place a more elaborate regulatory framework for tax practitioners and sponsor the establishment of a national tax professional body.</w:t>
      </w:r>
    </w:p>
    <w:p w:rsidR="00D008B4" w:rsidRPr="000962E9" w:rsidRDefault="00D008B4" w:rsidP="000962E9">
      <w:pPr>
        <w:jc w:val="both"/>
        <w:rPr>
          <w:rFonts w:eastAsia="Times New Roman" w:cs="Arial"/>
          <w:szCs w:val="24"/>
          <w:lang w:val="en-GB"/>
        </w:rPr>
      </w:pPr>
    </w:p>
    <w:p w:rsidR="00361DC8" w:rsidRPr="000962E9" w:rsidRDefault="00361DC8" w:rsidP="000962E9">
      <w:pPr>
        <w:jc w:val="both"/>
        <w:rPr>
          <w:rFonts w:eastAsia="Times New Roman" w:cs="Arial"/>
          <w:szCs w:val="24"/>
          <w:lang w:val="en-GB"/>
        </w:rPr>
      </w:pPr>
      <w:r w:rsidRPr="000962E9">
        <w:rPr>
          <w:rFonts w:eastAsia="Times New Roman" w:cs="Arial"/>
          <w:szCs w:val="24"/>
          <w:lang w:val="en-GB"/>
        </w:rPr>
        <w:t>Clearly, this paper points to specific areas on the role of tax practitioners in Tanzania that require further research. Now that we know for sure that utilisation of tax practitioners in Tanzania does not generally result in a higher level of taxpayer compliance, a pertinent follow up research issue would be whether the explanation for this astonishing finding is lack of proficiency on the part of the practitioners or poor integrity among either tax practitioners and/or tax officers or both. As noted earlier, this issue would require a thorough analysis of the post-audit disputes that followed the adjustments made by the tax authority. It would also entail further analysis of post-audit sanctions to taxpayers found to be non-compliant.</w:t>
      </w:r>
    </w:p>
    <w:p w:rsidR="00361DC8" w:rsidRPr="000962E9" w:rsidRDefault="00361DC8" w:rsidP="000962E9">
      <w:pPr>
        <w:jc w:val="both"/>
        <w:rPr>
          <w:rFonts w:eastAsia="Times New Roman" w:cs="Arial"/>
          <w:b/>
          <w:szCs w:val="24"/>
          <w:lang w:val="en-GB"/>
        </w:rPr>
      </w:pPr>
    </w:p>
    <w:p w:rsidR="00361DC8" w:rsidRPr="000962E9" w:rsidRDefault="00361DC8" w:rsidP="000962E9">
      <w:pPr>
        <w:jc w:val="both"/>
        <w:rPr>
          <w:rFonts w:eastAsia="Times New Roman" w:cs="Arial"/>
          <w:b/>
          <w:szCs w:val="24"/>
          <w:lang w:val="en-GB"/>
        </w:rPr>
      </w:pPr>
    </w:p>
    <w:p w:rsidR="00361DC8" w:rsidRPr="000962E9" w:rsidRDefault="00361DC8" w:rsidP="000962E9">
      <w:pPr>
        <w:jc w:val="both"/>
        <w:rPr>
          <w:rFonts w:eastAsia="Times New Roman" w:cs="Arial"/>
          <w:b/>
          <w:szCs w:val="24"/>
          <w:lang w:val="en-GB"/>
        </w:rPr>
      </w:pPr>
    </w:p>
    <w:p w:rsidR="00361DC8" w:rsidRPr="000962E9" w:rsidRDefault="00361DC8" w:rsidP="000962E9">
      <w:pPr>
        <w:jc w:val="both"/>
        <w:rPr>
          <w:rFonts w:eastAsia="Times New Roman" w:cs="Arial"/>
          <w:b/>
          <w:szCs w:val="24"/>
          <w:lang w:val="en-GB"/>
        </w:rPr>
      </w:pPr>
    </w:p>
    <w:p w:rsidR="00D008B4" w:rsidRDefault="00D008B4">
      <w:pPr>
        <w:rPr>
          <w:rFonts w:eastAsia="Times New Roman" w:cs="Arial"/>
          <w:b/>
          <w:szCs w:val="24"/>
          <w:lang w:val="en-GB"/>
        </w:rPr>
      </w:pPr>
      <w:r>
        <w:rPr>
          <w:rFonts w:eastAsia="Times New Roman" w:cs="Arial"/>
          <w:b/>
          <w:szCs w:val="24"/>
          <w:lang w:val="en-GB"/>
        </w:rPr>
        <w:br w:type="page"/>
      </w:r>
    </w:p>
    <w:p w:rsidR="00361DC8" w:rsidRPr="000962E9" w:rsidRDefault="00361DC8" w:rsidP="00D008B4">
      <w:pPr>
        <w:pStyle w:val="Heading1"/>
        <w:rPr>
          <w:rFonts w:eastAsia="Times New Roman"/>
          <w:lang w:val="en-GB"/>
        </w:rPr>
      </w:pPr>
      <w:bookmarkStart w:id="29" w:name="_Toc349636423"/>
      <w:r w:rsidRPr="000962E9">
        <w:rPr>
          <w:rFonts w:eastAsia="Times New Roman"/>
          <w:lang w:val="en-GB"/>
        </w:rPr>
        <w:lastRenderedPageBreak/>
        <w:t>REFERENCES</w:t>
      </w:r>
      <w:bookmarkEnd w:id="26"/>
      <w:bookmarkEnd w:id="27"/>
      <w:bookmarkEnd w:id="29"/>
    </w:p>
    <w:p w:rsidR="00D008B4" w:rsidRDefault="00D008B4" w:rsidP="000962E9">
      <w:pPr>
        <w:ind w:left="720" w:hanging="720"/>
        <w:jc w:val="both"/>
        <w:rPr>
          <w:rFonts w:eastAsia="Times New Roman" w:cs="Arial"/>
          <w:szCs w:val="24"/>
          <w:lang w:val="en-GB"/>
        </w:rPr>
      </w:pP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Alm, J. and B. Torgler</w:t>
      </w:r>
      <w:r w:rsidR="00656E70" w:rsidRPr="000962E9">
        <w:rPr>
          <w:rFonts w:eastAsia="Times New Roman" w:cs="Arial"/>
          <w:szCs w:val="24"/>
          <w:lang w:val="en-GB"/>
        </w:rPr>
        <w:t>. (</w:t>
      </w:r>
      <w:r w:rsidRPr="000962E9">
        <w:rPr>
          <w:rFonts w:eastAsia="Times New Roman" w:cs="Arial"/>
          <w:szCs w:val="24"/>
          <w:lang w:val="en-GB"/>
        </w:rPr>
        <w:t>2005. Cultural Differences and Tax Morale in the United States and in Europe. Retrieved on 12</w:t>
      </w:r>
      <w:r w:rsidRPr="000962E9">
        <w:rPr>
          <w:rFonts w:eastAsia="Times New Roman" w:cs="Arial"/>
          <w:szCs w:val="24"/>
          <w:vertAlign w:val="superscript"/>
          <w:lang w:val="en-GB"/>
        </w:rPr>
        <w:t>th</w:t>
      </w:r>
      <w:r w:rsidRPr="000962E9">
        <w:rPr>
          <w:rFonts w:eastAsia="Times New Roman" w:cs="Arial"/>
          <w:szCs w:val="24"/>
          <w:lang w:val="en-GB"/>
        </w:rPr>
        <w:t xml:space="preserve"> August 2012 from [</w:t>
      </w:r>
      <w:hyperlink r:id="rId10" w:history="1">
        <w:r w:rsidRPr="000962E9">
          <w:rPr>
            <w:rFonts w:eastAsia="Times New Roman" w:cs="Arial"/>
            <w:color w:val="0000FF"/>
            <w:szCs w:val="24"/>
            <w:u w:val="single"/>
            <w:lang w:val="en-GB"/>
          </w:rPr>
          <w:t>http://www.yale.edu/leitner/resources/docs/tax_morale_leitner.pdf</w:t>
        </w:r>
      </w:hyperlink>
      <w:r w:rsidRPr="000962E9">
        <w:rPr>
          <w:rFonts w:eastAsia="Times New Roman" w:cs="Arial"/>
          <w:szCs w:val="24"/>
          <w:lang w:val="en-GB"/>
        </w:rPr>
        <w:t>]</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Ayres, F. L., B. R. Jackson and P. Hite. 1989. The Economic Benefits of Regulation: Evidence from Professional Tax Preparers. </w:t>
      </w:r>
      <w:r w:rsidRPr="000962E9">
        <w:rPr>
          <w:rFonts w:eastAsia="Times New Roman" w:cs="Arial"/>
          <w:i/>
          <w:szCs w:val="24"/>
          <w:lang w:val="en-GB"/>
        </w:rPr>
        <w:t>The Accounting Review.</w:t>
      </w:r>
      <w:r w:rsidRPr="000962E9">
        <w:rPr>
          <w:rFonts w:eastAsia="Times New Roman" w:cs="Arial"/>
          <w:szCs w:val="24"/>
          <w:lang w:val="en-GB"/>
        </w:rPr>
        <w:t>64/2: 300–312.</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Beck, P. J., J. S. Davis and W. O. Jung. 1989. The Role of Tax Practitioners in Tax Reporting: A Signalling Game. </w:t>
      </w:r>
      <w:r w:rsidRPr="000962E9">
        <w:rPr>
          <w:rFonts w:eastAsia="Times New Roman" w:cs="Arial"/>
          <w:i/>
          <w:szCs w:val="24"/>
          <w:lang w:val="en-GB"/>
        </w:rPr>
        <w:t xml:space="preserve">Mimeo, </w:t>
      </w:r>
      <w:r w:rsidRPr="000962E9">
        <w:rPr>
          <w:rFonts w:eastAsia="Times New Roman" w:cs="Arial"/>
          <w:szCs w:val="24"/>
          <w:lang w:val="en-GB"/>
        </w:rPr>
        <w:t>University of Illinois.</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Book, L. 2008.Study of the Role of Preparers in Relation to Taxpayer Compliance with Internal Revenue </w:t>
      </w:r>
      <w:r w:rsidR="00656E70" w:rsidRPr="000962E9">
        <w:rPr>
          <w:rFonts w:eastAsia="Times New Roman" w:cs="Arial"/>
          <w:szCs w:val="24"/>
          <w:lang w:val="en-GB"/>
        </w:rPr>
        <w:t>Laws. Paper</w:t>
      </w:r>
      <w:r w:rsidRPr="000962E9">
        <w:rPr>
          <w:rFonts w:eastAsia="Times New Roman" w:cs="Arial"/>
          <w:szCs w:val="24"/>
          <w:lang w:val="en-GB"/>
        </w:rPr>
        <w:t xml:space="preserve"> 117 in</w:t>
      </w:r>
      <w:r w:rsidRPr="000962E9">
        <w:rPr>
          <w:rFonts w:eastAsia="Times New Roman" w:cs="Arial"/>
          <w:i/>
          <w:szCs w:val="24"/>
          <w:lang w:val="en-GB"/>
        </w:rPr>
        <w:t xml:space="preserve"> School of Law Working Paper </w:t>
      </w:r>
      <w:r w:rsidR="00656E70" w:rsidRPr="000962E9">
        <w:rPr>
          <w:rFonts w:eastAsia="Times New Roman" w:cs="Arial"/>
          <w:i/>
          <w:szCs w:val="24"/>
          <w:lang w:val="en-GB"/>
        </w:rPr>
        <w:t>Series</w:t>
      </w:r>
      <w:r w:rsidR="00656E70" w:rsidRPr="000962E9">
        <w:rPr>
          <w:rFonts w:eastAsia="Times New Roman" w:cs="Arial"/>
          <w:szCs w:val="24"/>
          <w:lang w:val="en-GB"/>
        </w:rPr>
        <w:t>. Villanova</w:t>
      </w:r>
      <w:r w:rsidRPr="000962E9">
        <w:rPr>
          <w:rFonts w:eastAsia="Times New Roman" w:cs="Arial"/>
          <w:szCs w:val="24"/>
          <w:lang w:val="en-GB"/>
        </w:rPr>
        <w:t xml:space="preserve"> University.</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Duncan, W. A., W. LaRue and P. M. J. Reckers. 1989. An Empirical Examination of the Influence of Selected Economic and Non-Economic Variables in Decision Making by Tax Professionals. </w:t>
      </w:r>
      <w:r w:rsidRPr="000962E9">
        <w:rPr>
          <w:rFonts w:eastAsia="Times New Roman" w:cs="Arial"/>
          <w:i/>
          <w:iCs/>
          <w:szCs w:val="24"/>
          <w:lang w:val="en-GB"/>
        </w:rPr>
        <w:t>Advances in Taxation</w:t>
      </w:r>
      <w:r w:rsidRPr="000962E9">
        <w:rPr>
          <w:rFonts w:eastAsia="Times New Roman" w:cs="Arial"/>
          <w:szCs w:val="24"/>
          <w:lang w:val="en-GB"/>
        </w:rPr>
        <w:t xml:space="preserve"> 2: 91-106.</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Erard, B. 1990. The Impact of Tax Practitioners on Tax Compliance: A Research Summary. Paper presented at the 1990 IRS Research Conference, Washington DC.</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------ 1993. Taxation with Representation: An Analysis of  the Role of Tax Practitioners in Tax Compliance. </w:t>
      </w:r>
      <w:r w:rsidRPr="000962E9">
        <w:rPr>
          <w:rFonts w:eastAsia="Times New Roman" w:cs="Arial"/>
          <w:i/>
          <w:szCs w:val="24"/>
          <w:lang w:val="en-GB"/>
        </w:rPr>
        <w:t>Journal of Public Economics.</w:t>
      </w:r>
      <w:r w:rsidRPr="000962E9">
        <w:rPr>
          <w:rFonts w:eastAsia="Times New Roman" w:cs="Arial"/>
          <w:szCs w:val="24"/>
          <w:lang w:val="en-GB"/>
        </w:rPr>
        <w:t>52: 163–197.</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Gujarati, D. N. and D. C. Porter. 2009. </w:t>
      </w:r>
      <w:r w:rsidRPr="000962E9">
        <w:rPr>
          <w:rFonts w:eastAsia="Times New Roman" w:cs="Arial"/>
          <w:i/>
          <w:szCs w:val="24"/>
          <w:lang w:val="en-GB"/>
        </w:rPr>
        <w:t>Basic Econometrics.</w:t>
      </w:r>
      <w:r w:rsidRPr="000962E9">
        <w:rPr>
          <w:rFonts w:eastAsia="Times New Roman" w:cs="Arial"/>
          <w:szCs w:val="24"/>
          <w:lang w:val="en-GB"/>
        </w:rPr>
        <w:t xml:space="preserve"> New York: McGraw Hill. </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Hite, P., J. Hasseldine, A. Al-Khoury, S. James, S. Toms and M. Toumi. 2003. Tax Practitioners and Tax Compliance</w:t>
      </w:r>
      <w:r w:rsidRPr="000962E9">
        <w:rPr>
          <w:rFonts w:eastAsia="Times New Roman" w:cs="Arial"/>
          <w:szCs w:val="24"/>
          <w:u w:val="single"/>
          <w:lang w:val="en-GB"/>
        </w:rPr>
        <w:t>.</w:t>
      </w:r>
      <w:r w:rsidRPr="000962E9">
        <w:rPr>
          <w:rFonts w:eastAsia="Times New Roman" w:cs="Arial"/>
          <w:szCs w:val="24"/>
          <w:lang w:val="en-GB"/>
        </w:rPr>
        <w:t xml:space="preserve"> In A. Lymer and D. Salter (eds.) </w:t>
      </w:r>
      <w:r w:rsidRPr="000962E9">
        <w:rPr>
          <w:rFonts w:eastAsia="Times New Roman" w:cs="Arial"/>
          <w:i/>
          <w:iCs/>
          <w:szCs w:val="24"/>
          <w:lang w:val="en-GB"/>
        </w:rPr>
        <w:t xml:space="preserve">Contemporary Issues in Taxation </w:t>
      </w:r>
      <w:r w:rsidR="00656E70" w:rsidRPr="000962E9">
        <w:rPr>
          <w:rFonts w:eastAsia="Times New Roman" w:cs="Arial"/>
          <w:i/>
          <w:iCs/>
          <w:szCs w:val="24"/>
          <w:lang w:val="en-GB"/>
        </w:rPr>
        <w:t>Research</w:t>
      </w:r>
      <w:r w:rsidR="00656E70" w:rsidRPr="000962E9">
        <w:rPr>
          <w:rFonts w:eastAsia="Times New Roman" w:cs="Arial"/>
          <w:szCs w:val="24"/>
          <w:lang w:val="en-GB"/>
        </w:rPr>
        <w:t xml:space="preserve"> Aldershot</w:t>
      </w:r>
      <w:r w:rsidRPr="000962E9">
        <w:rPr>
          <w:rFonts w:eastAsia="Times New Roman" w:cs="Arial"/>
          <w:szCs w:val="24"/>
          <w:lang w:val="en-GB"/>
        </w:rPr>
        <w:t xml:space="preserve">: Ashgate Publishing Limited. </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Hite, P. and J. Hasseldine. 2003. Tax Practitioner Credentials and the Incidence of IRS Audit Adjustments. </w:t>
      </w:r>
      <w:r w:rsidRPr="000962E9">
        <w:rPr>
          <w:rFonts w:eastAsia="Times New Roman" w:cs="Arial"/>
          <w:i/>
          <w:szCs w:val="24"/>
          <w:lang w:val="en-GB"/>
        </w:rPr>
        <w:t>Accounting Horizons</w:t>
      </w:r>
      <w:r w:rsidRPr="000962E9">
        <w:rPr>
          <w:rFonts w:eastAsia="Times New Roman" w:cs="Arial"/>
          <w:szCs w:val="24"/>
          <w:lang w:val="en-GB"/>
        </w:rPr>
        <w:t>: 17(1): 1-14.</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Internal Revenue Service. 2011. IRS Releases Specifications for Registered Tax Return Preparer Test. Retrieved  on 6</w:t>
      </w:r>
      <w:r w:rsidRPr="000962E9">
        <w:rPr>
          <w:rFonts w:eastAsia="Times New Roman" w:cs="Arial"/>
          <w:szCs w:val="24"/>
          <w:vertAlign w:val="superscript"/>
          <w:lang w:val="en-GB"/>
        </w:rPr>
        <w:t>th</w:t>
      </w:r>
      <w:r w:rsidRPr="000962E9">
        <w:rPr>
          <w:rFonts w:eastAsia="Times New Roman" w:cs="Arial"/>
          <w:szCs w:val="24"/>
          <w:lang w:val="en-GB"/>
        </w:rPr>
        <w:t xml:space="preserve"> August 2012 from </w:t>
      </w:r>
      <w:hyperlink r:id="rId11" w:history="1">
        <w:r w:rsidRPr="000962E9">
          <w:rPr>
            <w:rFonts w:eastAsia="Times New Roman" w:cs="Arial"/>
            <w:color w:val="0000FF"/>
            <w:szCs w:val="24"/>
            <w:u w:val="single"/>
            <w:lang w:val="en-GB"/>
          </w:rPr>
          <w:t>http://www.irs.gov/uac/IRS-Releases-Specifications-for-Registered-Tax-Return-Preparer-Test</w:t>
        </w:r>
      </w:hyperlink>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Tax Information for Tax Professionals. Retrieved on  6</w:t>
      </w:r>
      <w:r w:rsidRPr="000962E9">
        <w:rPr>
          <w:rFonts w:eastAsia="Times New Roman" w:cs="Arial"/>
          <w:szCs w:val="24"/>
          <w:vertAlign w:val="superscript"/>
          <w:lang w:val="en-GB"/>
        </w:rPr>
        <w:t>th</w:t>
      </w:r>
      <w:r w:rsidRPr="000962E9">
        <w:rPr>
          <w:rFonts w:eastAsia="Times New Roman" w:cs="Arial"/>
          <w:szCs w:val="24"/>
          <w:lang w:val="en-GB"/>
        </w:rPr>
        <w:t xml:space="preserve"> August 2012 from [</w:t>
      </w:r>
      <w:hyperlink r:id="rId12" w:history="1">
        <w:r w:rsidRPr="000962E9">
          <w:rPr>
            <w:rFonts w:eastAsia="Times New Roman" w:cs="Arial"/>
            <w:color w:val="0000FF"/>
            <w:szCs w:val="24"/>
            <w:u w:val="single"/>
            <w:lang w:val="en-GB"/>
          </w:rPr>
          <w:t>http://www.irs.gov/taxpros/index.html?navmenu=menu1</w:t>
        </w:r>
      </w:hyperlink>
      <w:r w:rsidRPr="000962E9">
        <w:rPr>
          <w:rFonts w:eastAsia="Times New Roman" w:cs="Arial"/>
          <w:szCs w:val="24"/>
          <w:lang w:val="en-GB"/>
        </w:rPr>
        <w:t>]</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Kaplan, S. E., P. M. J. Reckers, S. West, and J. Boyd. 1988. An Examination of Tax Reporting Recommendations of Professional Tax Preparers. </w:t>
      </w:r>
      <w:r w:rsidRPr="000962E9">
        <w:rPr>
          <w:rFonts w:eastAsia="Times New Roman" w:cs="Arial"/>
          <w:i/>
          <w:iCs/>
          <w:szCs w:val="24"/>
          <w:lang w:val="en-GB"/>
        </w:rPr>
        <w:t>Journal of Economic Psychology.</w:t>
      </w:r>
      <w:r w:rsidRPr="000962E9">
        <w:rPr>
          <w:rFonts w:eastAsia="Times New Roman" w:cs="Arial"/>
          <w:szCs w:val="24"/>
          <w:lang w:val="en-GB"/>
        </w:rPr>
        <w:t xml:space="preserve"> 4: 427-443.</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Klepper, S. and D. Nagin. 1989. The Role of Tax Preparers in Tax Compliance. </w:t>
      </w:r>
      <w:r w:rsidRPr="000962E9">
        <w:rPr>
          <w:rFonts w:eastAsia="Times New Roman" w:cs="Arial"/>
          <w:i/>
          <w:szCs w:val="24"/>
          <w:lang w:val="en-GB"/>
        </w:rPr>
        <w:t>Policy Science.</w:t>
      </w:r>
      <w:r w:rsidRPr="000962E9">
        <w:rPr>
          <w:rFonts w:eastAsia="Times New Roman" w:cs="Arial"/>
          <w:szCs w:val="24"/>
          <w:lang w:val="en-GB"/>
        </w:rPr>
        <w:t xml:space="preserve"> 22/2: 167–194.</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Klepper, S., M. Mazur and D. Nagin. 1991. Expert Intermediaries and Legal Compliance: The Case of Tax Preparers. </w:t>
      </w:r>
      <w:r w:rsidRPr="000962E9">
        <w:rPr>
          <w:rFonts w:eastAsia="Times New Roman" w:cs="Arial"/>
          <w:i/>
          <w:szCs w:val="24"/>
          <w:lang w:val="en-GB"/>
        </w:rPr>
        <w:t>Journal of Law and Economic</w:t>
      </w:r>
      <w:r w:rsidRPr="000962E9">
        <w:rPr>
          <w:rFonts w:eastAsia="Times New Roman" w:cs="Arial"/>
          <w:szCs w:val="24"/>
          <w:lang w:val="en-GB"/>
        </w:rPr>
        <w:t xml:space="preserve"> 34: 205-229</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lastRenderedPageBreak/>
        <w:t xml:space="preserve">Milliron, V. C. and D. R. Toy, 1988. Tax Compliance: An Investigation of Key Features. </w:t>
      </w:r>
      <w:r w:rsidRPr="000962E9">
        <w:rPr>
          <w:rFonts w:eastAsia="Times New Roman" w:cs="Arial"/>
          <w:i/>
          <w:szCs w:val="24"/>
          <w:lang w:val="en-GB"/>
        </w:rPr>
        <w:t xml:space="preserve">The Journal of the American Taxation Association </w:t>
      </w:r>
      <w:r w:rsidRPr="000962E9">
        <w:rPr>
          <w:rFonts w:eastAsia="Times New Roman" w:cs="Arial"/>
          <w:szCs w:val="24"/>
          <w:lang w:val="en-GB"/>
        </w:rPr>
        <w:t>9/2</w:t>
      </w:r>
      <w:r w:rsidRPr="000962E9">
        <w:rPr>
          <w:rFonts w:eastAsia="Times New Roman" w:cs="Arial"/>
          <w:i/>
          <w:szCs w:val="24"/>
          <w:lang w:val="en-GB"/>
        </w:rPr>
        <w:t xml:space="preserve">: </w:t>
      </w:r>
      <w:r w:rsidRPr="000962E9">
        <w:rPr>
          <w:rFonts w:eastAsia="Times New Roman" w:cs="Arial"/>
          <w:szCs w:val="24"/>
          <w:lang w:val="en-GB"/>
        </w:rPr>
        <w:t>84-104.</w:t>
      </w:r>
    </w:p>
    <w:p w:rsidR="00361DC8" w:rsidRPr="000962E9" w:rsidRDefault="00361DC8" w:rsidP="000962E9">
      <w:pPr>
        <w:ind w:left="720" w:hanging="720"/>
        <w:jc w:val="both"/>
        <w:rPr>
          <w:rFonts w:eastAsia="Times New Roman" w:cs="Arial"/>
          <w:bCs/>
          <w:szCs w:val="24"/>
          <w:lang w:val="en-GB"/>
        </w:rPr>
      </w:pPr>
      <w:r w:rsidRPr="000962E9">
        <w:rPr>
          <w:rFonts w:eastAsia="Times New Roman" w:cs="Arial"/>
          <w:szCs w:val="24"/>
          <w:lang w:val="en-GB"/>
        </w:rPr>
        <w:t xml:space="preserve">Murphy, K. 2004. </w:t>
      </w:r>
      <w:r w:rsidRPr="000962E9">
        <w:rPr>
          <w:rFonts w:eastAsia="Times New Roman" w:cs="Arial"/>
          <w:iCs/>
          <w:szCs w:val="24"/>
          <w:lang w:val="en-GB"/>
        </w:rPr>
        <w:t xml:space="preserve">Aggressive Tax Planning: Differentiating those Playing the Game from those who </w:t>
      </w:r>
      <w:r w:rsidR="00656E70" w:rsidRPr="000962E9">
        <w:rPr>
          <w:rFonts w:eastAsia="Times New Roman" w:cs="Arial"/>
          <w:iCs/>
          <w:szCs w:val="24"/>
          <w:lang w:val="en-GB"/>
        </w:rPr>
        <w:t>don’t</w:t>
      </w:r>
      <w:r w:rsidR="00656E70" w:rsidRPr="000962E9">
        <w:rPr>
          <w:rFonts w:eastAsia="Times New Roman" w:cs="Arial"/>
          <w:i/>
          <w:iCs/>
          <w:szCs w:val="24"/>
          <w:lang w:val="en-GB"/>
        </w:rPr>
        <w:t>.</w:t>
      </w:r>
      <w:r w:rsidR="00656E70" w:rsidRPr="000962E9">
        <w:rPr>
          <w:rFonts w:eastAsia="Times New Roman" w:cs="Arial"/>
          <w:i/>
          <w:szCs w:val="24"/>
          <w:lang w:val="en-GB"/>
        </w:rPr>
        <w:t xml:space="preserve"> Journal</w:t>
      </w:r>
      <w:r w:rsidRPr="000962E9">
        <w:rPr>
          <w:rFonts w:eastAsia="Times New Roman" w:cs="Arial"/>
          <w:i/>
          <w:szCs w:val="24"/>
          <w:lang w:val="en-GB"/>
        </w:rPr>
        <w:t xml:space="preserve"> of Economic Psychology </w:t>
      </w:r>
      <w:r w:rsidRPr="000962E9">
        <w:rPr>
          <w:rFonts w:eastAsia="Times New Roman" w:cs="Arial"/>
          <w:szCs w:val="24"/>
          <w:lang w:val="en-GB"/>
        </w:rPr>
        <w:t>25</w:t>
      </w:r>
      <w:r w:rsidRPr="000962E9">
        <w:rPr>
          <w:rFonts w:eastAsia="Times New Roman" w:cs="Arial"/>
          <w:i/>
          <w:szCs w:val="24"/>
          <w:lang w:val="en-GB"/>
        </w:rPr>
        <w:t xml:space="preserve">: </w:t>
      </w:r>
      <w:r w:rsidRPr="000962E9">
        <w:rPr>
          <w:rFonts w:eastAsia="Times New Roman" w:cs="Arial"/>
          <w:szCs w:val="24"/>
          <w:lang w:val="en-GB"/>
        </w:rPr>
        <w:t>307–310.</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Mushi, D. 2003. Compliance with Tax at Household Level: The Case of Development Levy in Tanzania. </w:t>
      </w:r>
      <w:r w:rsidRPr="000962E9">
        <w:rPr>
          <w:rFonts w:eastAsia="Times New Roman" w:cs="Arial"/>
          <w:i/>
          <w:szCs w:val="24"/>
          <w:lang w:val="en-GB"/>
        </w:rPr>
        <w:t xml:space="preserve">The African Journal of Finance and Management </w:t>
      </w:r>
      <w:r w:rsidRPr="000962E9">
        <w:rPr>
          <w:rFonts w:eastAsia="Times New Roman" w:cs="Arial"/>
          <w:szCs w:val="24"/>
          <w:lang w:val="en-GB"/>
        </w:rPr>
        <w:t>2/11: 48–58.</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Myles, G. D. 1995. </w:t>
      </w:r>
      <w:r w:rsidRPr="000962E9">
        <w:rPr>
          <w:rFonts w:eastAsia="Times New Roman" w:cs="Arial"/>
          <w:i/>
          <w:iCs/>
          <w:szCs w:val="24"/>
          <w:lang w:val="en-GB"/>
        </w:rPr>
        <w:t xml:space="preserve">Public </w:t>
      </w:r>
      <w:r w:rsidR="00656E70" w:rsidRPr="000962E9">
        <w:rPr>
          <w:rFonts w:eastAsia="Times New Roman" w:cs="Arial"/>
          <w:i/>
          <w:iCs/>
          <w:szCs w:val="24"/>
          <w:lang w:val="en-GB"/>
        </w:rPr>
        <w:t>Economics.</w:t>
      </w:r>
      <w:r w:rsidR="00656E70" w:rsidRPr="000962E9">
        <w:rPr>
          <w:rFonts w:eastAsia="Times New Roman" w:cs="Arial"/>
          <w:szCs w:val="24"/>
          <w:lang w:val="en-GB"/>
        </w:rPr>
        <w:t xml:space="preserve"> Cambridge</w:t>
      </w:r>
      <w:r w:rsidRPr="000962E9">
        <w:rPr>
          <w:rFonts w:eastAsia="Times New Roman" w:cs="Arial"/>
          <w:szCs w:val="24"/>
          <w:lang w:val="en-GB"/>
        </w:rPr>
        <w:t xml:space="preserve">: Cambridge University Press. </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Pei, B. K. W., P. M. J. Reckers and R. W. Wyndelts. 1992. Tax Professionals Belief Revision: The Effects of Information Presentation Sequence, Client Preference and Domain Experience. </w:t>
      </w:r>
      <w:r w:rsidRPr="000962E9">
        <w:rPr>
          <w:rFonts w:eastAsia="Times New Roman" w:cs="Arial"/>
          <w:i/>
          <w:iCs/>
          <w:szCs w:val="24"/>
          <w:lang w:val="en-GB"/>
        </w:rPr>
        <w:t>Decision Sciences</w:t>
      </w:r>
      <w:r w:rsidRPr="000962E9">
        <w:rPr>
          <w:rFonts w:eastAsia="Times New Roman" w:cs="Arial"/>
          <w:szCs w:val="24"/>
          <w:lang w:val="en-GB"/>
        </w:rPr>
        <w:t xml:space="preserve"> 23/1: 175-199.</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Reinganum, J. F. and L. L. Wilde. 1991. Equilibrium Enforcement and Compliance in the Presence of Tax Practitioners. </w:t>
      </w:r>
      <w:r w:rsidRPr="000962E9">
        <w:rPr>
          <w:rFonts w:eastAsia="Times New Roman" w:cs="Arial"/>
          <w:i/>
          <w:iCs/>
          <w:szCs w:val="24"/>
          <w:lang w:val="en-GB"/>
        </w:rPr>
        <w:t xml:space="preserve">Journal of Law Economics and Organisation </w:t>
      </w:r>
      <w:r w:rsidRPr="000962E9">
        <w:rPr>
          <w:rFonts w:eastAsia="Times New Roman" w:cs="Arial"/>
          <w:szCs w:val="24"/>
          <w:lang w:val="en-GB"/>
        </w:rPr>
        <w:t>7: 163-181.</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Richardson, M. and A. J. Sawyer.2001. A Taxonomy of the Tax Compliance Literature: Further Findings, Problems and Prospects. </w:t>
      </w:r>
      <w:r w:rsidRPr="000962E9">
        <w:rPr>
          <w:rFonts w:eastAsia="Times New Roman" w:cs="Arial"/>
          <w:i/>
          <w:iCs/>
          <w:szCs w:val="24"/>
          <w:lang w:val="en-GB"/>
        </w:rPr>
        <w:t>Australian Tax Forum</w:t>
      </w:r>
      <w:r w:rsidRPr="000962E9">
        <w:rPr>
          <w:rFonts w:eastAsia="Times New Roman" w:cs="Arial"/>
          <w:szCs w:val="24"/>
          <w:lang w:val="en-GB"/>
        </w:rPr>
        <w:t xml:space="preserve"> 16: 137-320.</w:t>
      </w:r>
    </w:p>
    <w:p w:rsidR="00361DC8" w:rsidRPr="000962E9" w:rsidRDefault="00361DC8" w:rsidP="000962E9">
      <w:pPr>
        <w:ind w:left="720" w:hanging="720"/>
        <w:jc w:val="both"/>
        <w:rPr>
          <w:rFonts w:eastAsia="Times New Roman" w:cs="Arial"/>
          <w:bCs/>
          <w:szCs w:val="24"/>
          <w:lang w:val="en-GB"/>
        </w:rPr>
      </w:pPr>
      <w:r w:rsidRPr="000962E9">
        <w:rPr>
          <w:rFonts w:eastAsia="Times New Roman" w:cs="Arial"/>
          <w:szCs w:val="24"/>
          <w:lang w:val="en-GB"/>
        </w:rPr>
        <w:t xml:space="preserve">Revolutionary Government of Zanzibar. 1996. The Zanzibar Revenue Board Act. </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------ 1998. Value Added Tax Act.  Retrieved on 3</w:t>
      </w:r>
      <w:r w:rsidRPr="000962E9">
        <w:rPr>
          <w:rFonts w:eastAsia="Times New Roman" w:cs="Arial"/>
          <w:szCs w:val="24"/>
          <w:vertAlign w:val="superscript"/>
          <w:lang w:val="en-GB"/>
        </w:rPr>
        <w:t>rd</w:t>
      </w:r>
      <w:r w:rsidRPr="000962E9">
        <w:rPr>
          <w:rFonts w:eastAsia="Times New Roman" w:cs="Arial"/>
          <w:szCs w:val="24"/>
          <w:lang w:val="en-GB"/>
        </w:rPr>
        <w:t xml:space="preserve"> September 2012 from [http://www.zanrevenue.org/images/uploads/vat_act.pdf]</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Schnepper, J. 2012. Should you do your Own Taxes? </w:t>
      </w:r>
      <w:r w:rsidR="00656E70" w:rsidRPr="000962E9">
        <w:rPr>
          <w:rFonts w:eastAsia="Times New Roman" w:cs="Arial"/>
          <w:szCs w:val="24"/>
          <w:lang w:val="en-GB"/>
        </w:rPr>
        <w:t>Retrieved on</w:t>
      </w:r>
      <w:r w:rsidRPr="000962E9">
        <w:rPr>
          <w:rFonts w:eastAsia="Times New Roman" w:cs="Arial"/>
          <w:szCs w:val="24"/>
          <w:lang w:val="en-GB"/>
        </w:rPr>
        <w:t xml:space="preserve"> 4</w:t>
      </w:r>
      <w:r w:rsidRPr="000962E9">
        <w:rPr>
          <w:rFonts w:eastAsia="Times New Roman" w:cs="Arial"/>
          <w:szCs w:val="24"/>
          <w:vertAlign w:val="superscript"/>
          <w:lang w:val="en-GB"/>
        </w:rPr>
        <w:t>th</w:t>
      </w:r>
      <w:r w:rsidRPr="000962E9">
        <w:rPr>
          <w:rFonts w:eastAsia="Times New Roman" w:cs="Arial"/>
          <w:szCs w:val="24"/>
          <w:lang w:val="en-GB"/>
        </w:rPr>
        <w:t xml:space="preserve"> September 2012 from </w:t>
      </w:r>
      <w:hyperlink r:id="rId13" w:history="1">
        <w:r w:rsidRPr="000962E9">
          <w:rPr>
            <w:rFonts w:eastAsia="Times New Roman" w:cs="Arial"/>
            <w:color w:val="0000FF"/>
            <w:szCs w:val="24"/>
            <w:u w:val="single"/>
            <w:lang w:val="en-GB"/>
          </w:rPr>
          <w:t>http://money.msn.com/tax-preparation/should-you-do-your-own-taxes-schnepper.aspx</w:t>
        </w:r>
      </w:hyperlink>
      <w:r w:rsidRPr="000962E9">
        <w:rPr>
          <w:rFonts w:eastAsia="Times New Roman" w:cs="Arial"/>
          <w:szCs w:val="24"/>
          <w:lang w:val="en-GB"/>
        </w:rPr>
        <w:t>.</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Scotchmer, S. 1989a. The Effect of Tax Advisors on Tax Compliance. In: J. A. Roth and J. T. Scholz (eds.) </w:t>
      </w:r>
      <w:r w:rsidRPr="000962E9">
        <w:rPr>
          <w:rFonts w:eastAsia="Times New Roman" w:cs="Arial"/>
          <w:i/>
          <w:iCs/>
          <w:szCs w:val="24"/>
          <w:lang w:val="en-GB"/>
        </w:rPr>
        <w:t xml:space="preserve">Taxpayer Compliance: Social Science Perspective. </w:t>
      </w:r>
      <w:r w:rsidRPr="000962E9">
        <w:rPr>
          <w:rFonts w:eastAsia="Times New Roman" w:cs="Arial"/>
          <w:szCs w:val="24"/>
          <w:lang w:val="en-GB"/>
        </w:rPr>
        <w:t>Vol. 2: 182-199</w:t>
      </w:r>
      <w:r w:rsidRPr="000962E9">
        <w:rPr>
          <w:rFonts w:eastAsia="Times New Roman" w:cs="Arial"/>
          <w:i/>
          <w:iCs/>
          <w:szCs w:val="24"/>
          <w:lang w:val="en-GB"/>
        </w:rPr>
        <w:t xml:space="preserve">. </w:t>
      </w:r>
      <w:r w:rsidRPr="000962E9">
        <w:rPr>
          <w:rFonts w:eastAsia="Times New Roman" w:cs="Arial"/>
          <w:szCs w:val="24"/>
          <w:lang w:val="en-GB"/>
        </w:rPr>
        <w:t>University of Pennsylvania Press.</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------ 1989b. Who Profits from Taxpayer Confusion? </w:t>
      </w:r>
      <w:r w:rsidRPr="000962E9">
        <w:rPr>
          <w:rFonts w:eastAsia="Times New Roman" w:cs="Arial"/>
          <w:i/>
          <w:szCs w:val="24"/>
          <w:lang w:val="en-GB"/>
        </w:rPr>
        <w:t>Economics Letters</w:t>
      </w:r>
      <w:r w:rsidRPr="000962E9">
        <w:rPr>
          <w:rFonts w:eastAsia="Times New Roman" w:cs="Arial"/>
          <w:szCs w:val="24"/>
          <w:lang w:val="en-GB"/>
        </w:rPr>
        <w:t xml:space="preserve"> 29: 49-55.</w:t>
      </w:r>
    </w:p>
    <w:p w:rsidR="00361DC8" w:rsidRPr="000962E9" w:rsidRDefault="00361DC8" w:rsidP="000962E9">
      <w:pPr>
        <w:ind w:left="720" w:hanging="720"/>
        <w:jc w:val="both"/>
        <w:rPr>
          <w:rFonts w:eastAsia="Times New Roman" w:cs="Arial"/>
          <w:i/>
          <w:szCs w:val="24"/>
          <w:lang w:val="en-GB"/>
        </w:rPr>
      </w:pPr>
      <w:r w:rsidRPr="000962E9">
        <w:rPr>
          <w:rFonts w:eastAsia="Times New Roman" w:cs="Arial"/>
          <w:szCs w:val="24"/>
          <w:lang w:val="en-GB"/>
        </w:rPr>
        <w:t xml:space="preserve">Semboja, J. and O. Fjeldstad. 1998. Why People Pay Tax: The Case of Development Levy in Tanzania. </w:t>
      </w:r>
      <w:r w:rsidRPr="000962E9">
        <w:rPr>
          <w:rFonts w:eastAsia="Times New Roman" w:cs="Arial"/>
          <w:i/>
          <w:szCs w:val="24"/>
          <w:lang w:val="en-GB"/>
        </w:rPr>
        <w:t xml:space="preserve">Chr. Michelsen Institute Working Paper </w:t>
      </w:r>
      <w:r w:rsidRPr="000962E9">
        <w:rPr>
          <w:rFonts w:eastAsia="Times New Roman" w:cs="Arial"/>
          <w:szCs w:val="24"/>
          <w:lang w:val="en-GB"/>
        </w:rPr>
        <w:t>No. 5/98.</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Tanzania Revenue Authority. 2010. Tax Revenue Report. June.</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xml:space="preserve">Torgler, B. 2003. Tax Morale: Theory and Empirical Analysis of Tax Compliance. </w:t>
      </w:r>
      <w:r w:rsidRPr="000962E9">
        <w:rPr>
          <w:rFonts w:eastAsia="Times New Roman" w:cs="Arial"/>
          <w:i/>
          <w:szCs w:val="24"/>
          <w:lang w:val="en-GB"/>
        </w:rPr>
        <w:t xml:space="preserve">PhD </w:t>
      </w:r>
      <w:r w:rsidR="00656E70" w:rsidRPr="000962E9">
        <w:rPr>
          <w:rFonts w:eastAsia="Times New Roman" w:cs="Arial"/>
          <w:i/>
          <w:szCs w:val="24"/>
          <w:lang w:val="en-GB"/>
        </w:rPr>
        <w:t>Dissertation.</w:t>
      </w:r>
      <w:r w:rsidR="00656E70" w:rsidRPr="000962E9">
        <w:rPr>
          <w:rFonts w:eastAsia="Times New Roman" w:cs="Arial"/>
          <w:szCs w:val="24"/>
          <w:lang w:val="en-GB"/>
        </w:rPr>
        <w:t xml:space="preserve"> University</w:t>
      </w:r>
      <w:r w:rsidRPr="000962E9">
        <w:rPr>
          <w:rFonts w:eastAsia="Times New Roman" w:cs="Arial"/>
          <w:szCs w:val="24"/>
          <w:lang w:val="en-GB"/>
        </w:rPr>
        <w:t xml:space="preserve"> of Basel.</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United Republic of Tanzania. 1995. Tanzania Revenue Authority Act.  Dar es Salaam: Government Printer.</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------ 1997. Value Added Tax Act.  Dar es Salaam: Government Printer.</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------ 2000. Tax Revenue Appeals Act.  Dar es Salaam: Government Printer.</w:t>
      </w:r>
    </w:p>
    <w:p w:rsidR="00361DC8" w:rsidRPr="000962E9" w:rsidRDefault="00361DC8" w:rsidP="000962E9">
      <w:pPr>
        <w:ind w:left="720" w:hanging="720"/>
        <w:jc w:val="both"/>
        <w:rPr>
          <w:rFonts w:eastAsia="Times New Roman" w:cs="Arial"/>
          <w:szCs w:val="24"/>
          <w:lang w:val="en-GB"/>
        </w:rPr>
      </w:pPr>
      <w:r w:rsidRPr="000962E9">
        <w:rPr>
          <w:rFonts w:eastAsia="Times New Roman" w:cs="Arial"/>
          <w:szCs w:val="24"/>
          <w:lang w:val="en-GB"/>
        </w:rPr>
        <w:t>------ 2004. Income Tax Act.   Dar es Salaam: Government Printer.</w:t>
      </w:r>
    </w:p>
    <w:p w:rsidR="00052AC7" w:rsidRPr="000962E9" w:rsidRDefault="00052AC7" w:rsidP="000962E9">
      <w:pPr>
        <w:rPr>
          <w:rFonts w:cs="Arial"/>
          <w:szCs w:val="24"/>
        </w:rPr>
      </w:pPr>
    </w:p>
    <w:sectPr w:rsidR="00052AC7" w:rsidRPr="000962E9" w:rsidSect="000962E9">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786" w:rsidRDefault="00285786" w:rsidP="00361DC8">
      <w:pPr>
        <w:spacing w:line="240" w:lineRule="auto"/>
      </w:pPr>
      <w:r>
        <w:separator/>
      </w:r>
    </w:p>
  </w:endnote>
  <w:endnote w:type="continuationSeparator" w:id="1">
    <w:p w:rsidR="00285786" w:rsidRDefault="00285786" w:rsidP="00361D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396"/>
      <w:gridCol w:w="1849"/>
    </w:tblGrid>
    <w:sdt>
      <w:sdtPr>
        <w:rPr>
          <w:rFonts w:asciiTheme="majorHAnsi" w:eastAsiaTheme="majorEastAsia" w:hAnsiTheme="majorHAnsi" w:cstheme="majorBidi"/>
          <w:sz w:val="20"/>
          <w:szCs w:val="20"/>
        </w:rPr>
        <w:id w:val="1476877394"/>
        <w:docPartObj>
          <w:docPartGallery w:val="Page Numbers (Bottom of Page)"/>
          <w:docPartUnique/>
        </w:docPartObj>
      </w:sdtPr>
      <w:sdtEndPr>
        <w:rPr>
          <w:rFonts w:ascii="Arial" w:eastAsiaTheme="minorHAnsi" w:hAnsi="Arial" w:cstheme="minorBidi"/>
          <w:noProof/>
          <w:sz w:val="24"/>
          <w:szCs w:val="22"/>
        </w:rPr>
      </w:sdtEndPr>
      <w:sdtContent>
        <w:tr w:rsidR="00D008B4">
          <w:trPr>
            <w:trHeight w:val="727"/>
          </w:trPr>
          <w:tc>
            <w:tcPr>
              <w:tcW w:w="4000" w:type="pct"/>
              <w:tcBorders>
                <w:right w:val="triple" w:sz="4" w:space="0" w:color="4F81BD" w:themeColor="accent1"/>
              </w:tcBorders>
            </w:tcPr>
            <w:p w:rsidR="00D008B4" w:rsidRDefault="00D008B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D008B4" w:rsidRDefault="00AF0BDB">
              <w:pPr>
                <w:tabs>
                  <w:tab w:val="left" w:pos="1490"/>
                </w:tabs>
                <w:rPr>
                  <w:rFonts w:asciiTheme="majorHAnsi" w:eastAsiaTheme="majorEastAsia" w:hAnsiTheme="majorHAnsi" w:cstheme="majorBidi"/>
                  <w:sz w:val="28"/>
                  <w:szCs w:val="28"/>
                </w:rPr>
              </w:pPr>
              <w:r>
                <w:fldChar w:fldCharType="begin"/>
              </w:r>
              <w:r w:rsidR="00D008B4">
                <w:instrText xml:space="preserve"> PAGE    \* MERGEFORMAT </w:instrText>
              </w:r>
              <w:r w:rsidRPr="00AF0BDB">
                <w:fldChar w:fldCharType="separate"/>
              </w:r>
              <w:r w:rsidR="004F5761">
                <w:rPr>
                  <w:noProof/>
                </w:rPr>
                <w:t>1</w:t>
              </w:r>
              <w:r>
                <w:rPr>
                  <w:noProof/>
                </w:rPr>
                <w:fldChar w:fldCharType="end"/>
              </w:r>
            </w:p>
          </w:tc>
        </w:tr>
      </w:sdtContent>
    </w:sdt>
  </w:tbl>
  <w:p w:rsidR="00842EAC" w:rsidRDefault="00842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396"/>
      <w:gridCol w:w="1849"/>
    </w:tblGrid>
    <w:sdt>
      <w:sdtPr>
        <w:rPr>
          <w:rFonts w:asciiTheme="majorHAnsi" w:eastAsiaTheme="majorEastAsia" w:hAnsiTheme="majorHAnsi" w:cstheme="majorBidi"/>
          <w:sz w:val="20"/>
          <w:szCs w:val="20"/>
        </w:rPr>
        <w:id w:val="1958213081"/>
        <w:docPartObj>
          <w:docPartGallery w:val="Page Numbers (Bottom of Page)"/>
          <w:docPartUnique/>
        </w:docPartObj>
      </w:sdtPr>
      <w:sdtEndPr>
        <w:rPr>
          <w:rFonts w:ascii="Arial" w:eastAsiaTheme="minorHAnsi" w:hAnsi="Arial" w:cstheme="minorBidi"/>
          <w:noProof/>
          <w:sz w:val="24"/>
          <w:szCs w:val="22"/>
        </w:rPr>
      </w:sdtEndPr>
      <w:sdtContent>
        <w:tr w:rsidR="00D008B4">
          <w:trPr>
            <w:trHeight w:val="727"/>
          </w:trPr>
          <w:tc>
            <w:tcPr>
              <w:tcW w:w="4000" w:type="pct"/>
              <w:tcBorders>
                <w:right w:val="triple" w:sz="4" w:space="0" w:color="4F81BD" w:themeColor="accent1"/>
              </w:tcBorders>
            </w:tcPr>
            <w:p w:rsidR="00D008B4" w:rsidRDefault="00D008B4">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D008B4" w:rsidRDefault="00AF0BDB">
              <w:pPr>
                <w:tabs>
                  <w:tab w:val="left" w:pos="1490"/>
                </w:tabs>
                <w:rPr>
                  <w:rFonts w:asciiTheme="majorHAnsi" w:eastAsiaTheme="majorEastAsia" w:hAnsiTheme="majorHAnsi" w:cstheme="majorBidi"/>
                  <w:sz w:val="28"/>
                  <w:szCs w:val="28"/>
                </w:rPr>
              </w:pPr>
              <w:r>
                <w:fldChar w:fldCharType="begin"/>
              </w:r>
              <w:r w:rsidR="00D008B4">
                <w:instrText xml:space="preserve"> PAGE    \* MERGEFORMAT </w:instrText>
              </w:r>
              <w:r w:rsidRPr="00AF0BDB">
                <w:fldChar w:fldCharType="separate"/>
              </w:r>
              <w:r w:rsidR="004F5761">
                <w:rPr>
                  <w:noProof/>
                </w:rPr>
                <w:t>i</w:t>
              </w:r>
              <w:r>
                <w:rPr>
                  <w:noProof/>
                </w:rPr>
                <w:fldChar w:fldCharType="end"/>
              </w:r>
            </w:p>
          </w:tc>
        </w:tr>
      </w:sdtContent>
    </w:sdt>
  </w:tbl>
  <w:p w:rsidR="00D008B4" w:rsidRDefault="00D008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786" w:rsidRDefault="00285786" w:rsidP="00361DC8">
      <w:pPr>
        <w:spacing w:line="240" w:lineRule="auto"/>
      </w:pPr>
      <w:r>
        <w:separator/>
      </w:r>
    </w:p>
  </w:footnote>
  <w:footnote w:type="continuationSeparator" w:id="1">
    <w:p w:rsidR="00285786" w:rsidRDefault="00285786" w:rsidP="00361DC8">
      <w:pPr>
        <w:spacing w:line="240" w:lineRule="auto"/>
      </w:pPr>
      <w:r>
        <w:continuationSeparator/>
      </w:r>
    </w:p>
  </w:footnote>
  <w:footnote w:id="2">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0962E9">
        <w:rPr>
          <w:rFonts w:ascii="Arial" w:hAnsi="Arial" w:cs="Arial"/>
        </w:rPr>
        <w:tab/>
      </w:r>
      <w:r w:rsidRPr="000962E9">
        <w:rPr>
          <w:rFonts w:ascii="Arial" w:hAnsi="Arial" w:cs="Arial"/>
        </w:rPr>
        <w:t xml:space="preserve">This paper is based on a larger ongoing REPOA-funded study expected to result in a PhD thesis and is currently under consideration for publication in one referred journal.  </w:t>
      </w:r>
    </w:p>
  </w:footnote>
  <w:footnote w:id="3">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There are exceptions to this registration requirement. Examples of the exceptions include attorneys and advocates when providing advice in anticipation of any litigation or in the course of any litigation to which SARS is a party and any full-time employee providing tax advice to his/her employer.</w:t>
      </w:r>
    </w:p>
  </w:footnote>
  <w:footnote w:id="4">
    <w:p w:rsidR="00D008B4" w:rsidRDefault="00D008B4" w:rsidP="000962E9">
      <w:pPr>
        <w:pStyle w:val="FootnoteText"/>
        <w:ind w:left="720" w:right="576" w:hanging="720"/>
        <w:jc w:val="both"/>
        <w:rPr>
          <w:rFonts w:ascii="Arial" w:hAnsi="Arial" w:cs="Arial"/>
        </w:rPr>
      </w:pPr>
    </w:p>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 xml:space="preserve">Tax practitioners who are members of professional bodies that subject them to more stringent testing and educational requirements such as CPAs and Attorneys have however, been exempted from this additional measure. </w:t>
      </w:r>
    </w:p>
  </w:footnote>
  <w:footnote w:id="5">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Development levy was a kind of poll tax that was a major source of revenue for local government authorities until it was abolished together with other so-called nuisance taxes in 2003.</w:t>
      </w:r>
    </w:p>
  </w:footnote>
  <w:footnote w:id="6">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Note that in calculating mean value of over-declared and under-declared taxable income values greater than two billion were removed as outliers. These were few observations but due to their disproportionate size, their inclusion would have inflated the results.</w:t>
      </w:r>
    </w:p>
    <w:p w:rsidR="00842EAC" w:rsidRPr="000962E9" w:rsidRDefault="00842EAC" w:rsidP="000962E9">
      <w:pPr>
        <w:pStyle w:val="FootnoteText"/>
        <w:ind w:left="720" w:right="576" w:hanging="720"/>
        <w:jc w:val="both"/>
        <w:rPr>
          <w:rFonts w:ascii="Arial" w:hAnsi="Arial" w:cs="Arial"/>
        </w:rPr>
      </w:pPr>
    </w:p>
  </w:footnote>
  <w:footnote w:id="7">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Note that in calculating mean level of non-compliance, percentages greater than 1,500 were removed as outliers.</w:t>
      </w:r>
    </w:p>
  </w:footnote>
  <w:footnote w:id="8">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 xml:space="preserve">According to the data obtained from the audited tax returns, less than one per cent of the non-compliant taxpayers objected to or appealed against the additional assessments issued by the tax authority. </w:t>
      </w:r>
    </w:p>
    <w:p w:rsidR="00842EAC" w:rsidRPr="000962E9" w:rsidRDefault="00842EAC" w:rsidP="000962E9">
      <w:pPr>
        <w:pStyle w:val="FootnoteText"/>
        <w:ind w:left="720" w:right="576" w:hanging="720"/>
        <w:jc w:val="both"/>
        <w:rPr>
          <w:rFonts w:ascii="Arial" w:hAnsi="Arial" w:cs="Arial"/>
        </w:rPr>
      </w:pPr>
    </w:p>
  </w:footnote>
  <w:footnote w:id="9">
    <w:p w:rsidR="00361DC8" w:rsidRPr="000962E9" w:rsidRDefault="00361DC8" w:rsidP="000962E9">
      <w:pPr>
        <w:pStyle w:val="FootnoteText"/>
        <w:ind w:left="720" w:right="576" w:hanging="720"/>
        <w:jc w:val="both"/>
        <w:rPr>
          <w:rFonts w:ascii="Arial" w:hAnsi="Arial" w:cs="Arial"/>
        </w:rPr>
      </w:pPr>
      <w:r w:rsidRPr="000962E9">
        <w:rPr>
          <w:rStyle w:val="FootnoteReference"/>
          <w:rFonts w:ascii="Arial" w:hAnsi="Arial" w:cs="Arial"/>
        </w:rPr>
        <w:footnoteRef/>
      </w:r>
      <w:r w:rsidR="00D008B4">
        <w:rPr>
          <w:rFonts w:ascii="Arial" w:hAnsi="Arial" w:cs="Arial"/>
        </w:rPr>
        <w:tab/>
      </w:r>
      <w:r w:rsidRPr="000962E9">
        <w:rPr>
          <w:rFonts w:ascii="Arial" w:hAnsi="Arial" w:cs="Arial"/>
        </w:rPr>
        <w:t>Data obtained from the audited tax returns show that less than 10 per cent of the 787 non-compliant taxpayers were sanctioned in 2009/2010.</w:t>
      </w:r>
    </w:p>
    <w:p w:rsidR="00361DC8" w:rsidRPr="000962E9" w:rsidRDefault="00361DC8" w:rsidP="000962E9">
      <w:pPr>
        <w:pStyle w:val="FootnoteText"/>
        <w:ind w:left="720" w:right="432" w:hanging="720"/>
        <w:jc w:val="both"/>
        <w:rPr>
          <w:rFonts w:ascii="Arial" w:hAnsi="Arial" w:cs="Aria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5122"/>
  </w:hdrShapeDefaults>
  <w:footnotePr>
    <w:footnote w:id="0"/>
    <w:footnote w:id="1"/>
  </w:footnotePr>
  <w:endnotePr>
    <w:endnote w:id="0"/>
    <w:endnote w:id="1"/>
  </w:endnotePr>
  <w:compat/>
  <w:rsids>
    <w:rsidRoot w:val="00361DC8"/>
    <w:rsid w:val="00052AC7"/>
    <w:rsid w:val="000962E9"/>
    <w:rsid w:val="000E6160"/>
    <w:rsid w:val="0026324D"/>
    <w:rsid w:val="00285786"/>
    <w:rsid w:val="00361DC8"/>
    <w:rsid w:val="00402286"/>
    <w:rsid w:val="004F5761"/>
    <w:rsid w:val="00656E70"/>
    <w:rsid w:val="00842EAC"/>
    <w:rsid w:val="00AF0BDB"/>
    <w:rsid w:val="00BE1F53"/>
    <w:rsid w:val="00C7527E"/>
    <w:rsid w:val="00D008B4"/>
    <w:rsid w:val="00DB6E39"/>
    <w:rsid w:val="00F57436"/>
    <w:rsid w:val="00FA58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B4"/>
    <w:pPr>
      <w:spacing w:after="0" w:line="288" w:lineRule="auto"/>
    </w:pPr>
    <w:rPr>
      <w:rFonts w:ascii="Arial" w:hAnsi="Arial"/>
      <w:sz w:val="24"/>
    </w:rPr>
  </w:style>
  <w:style w:type="paragraph" w:styleId="Heading1">
    <w:name w:val="heading 1"/>
    <w:basedOn w:val="Normal"/>
    <w:next w:val="Normal"/>
    <w:link w:val="Heading1Char"/>
    <w:uiPriority w:val="9"/>
    <w:qFormat/>
    <w:rsid w:val="000962E9"/>
    <w:pPr>
      <w:keepNext/>
      <w:keepLines/>
      <w:pBdr>
        <w:bottom w:val="single" w:sz="4" w:space="1" w:color="auto"/>
      </w:pBdr>
      <w:spacing w:line="240" w:lineRule="auto"/>
      <w:ind w:left="1152" w:hanging="1152"/>
      <w:outlineLvl w:val="0"/>
    </w:pPr>
    <w:rPr>
      <w:rFonts w:eastAsiaTheme="majorEastAsia" w:cstheme="majorBidi"/>
      <w:b/>
      <w:bCs/>
      <w:caps/>
      <w:color w:val="1F497D" w:themeColor="text2"/>
      <w:sz w:val="32"/>
      <w:szCs w:val="28"/>
    </w:rPr>
  </w:style>
  <w:style w:type="paragraph" w:styleId="Heading2">
    <w:name w:val="heading 2"/>
    <w:basedOn w:val="Normal"/>
    <w:next w:val="Normal"/>
    <w:link w:val="Heading2Char"/>
    <w:uiPriority w:val="9"/>
    <w:unhideWhenUsed/>
    <w:qFormat/>
    <w:rsid w:val="00D008B4"/>
    <w:pPr>
      <w:keepNext/>
      <w:keepLines/>
      <w:spacing w:line="240" w:lineRule="auto"/>
      <w:ind w:left="1152" w:hanging="1152"/>
      <w:outlineLvl w:val="1"/>
    </w:pPr>
    <w:rPr>
      <w:rFonts w:eastAsiaTheme="majorEastAsia" w:cstheme="majorBidi"/>
      <w:b/>
      <w:bCs/>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n,Footnotes,Footnote ak,ALTS FOOTNOTE,Footnote Text Char2 Char,Footnote Text Char1 Char Char,Footnote Text Char Char2 Char Char,Footnote Text Char4 Char Char Char Char,single space,Текст сноски Знак"/>
    <w:basedOn w:val="Normal"/>
    <w:link w:val="FootnoteTextChar"/>
    <w:uiPriority w:val="99"/>
    <w:semiHidden/>
    <w:rsid w:val="00361DC8"/>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n Char,Footnotes Char,Footnote ak Char,ALTS FOOTNOTE Char,Footnote Text Char2 Char Char,Footnote Text Char1 Char Char Char,Footnote Text Char Char2 Char Char Char,single space Char"/>
    <w:basedOn w:val="DefaultParagraphFont"/>
    <w:link w:val="FootnoteText"/>
    <w:uiPriority w:val="99"/>
    <w:semiHidden/>
    <w:rsid w:val="00361DC8"/>
    <w:rPr>
      <w:rFonts w:ascii="Times New Roman" w:eastAsia="Times New Roman" w:hAnsi="Times New Roman" w:cs="Times New Roman"/>
      <w:sz w:val="20"/>
      <w:szCs w:val="20"/>
    </w:rPr>
  </w:style>
  <w:style w:type="character" w:styleId="FootnoteReference">
    <w:name w:val="footnote reference"/>
    <w:aliases w:val="Footnote symbol,Appel note de bas de p,Ref,de nota al pie,callout,Footnotes refss,Footnote,Voetnootverwijzing,Times 10 Point,Exposant 3 Point,ftref,Texto de nota al pie"/>
    <w:semiHidden/>
    <w:rsid w:val="00361DC8"/>
    <w:rPr>
      <w:vertAlign w:val="superscript"/>
    </w:rPr>
  </w:style>
  <w:style w:type="paragraph" w:styleId="Header">
    <w:name w:val="header"/>
    <w:basedOn w:val="Normal"/>
    <w:link w:val="HeaderChar"/>
    <w:unhideWhenUsed/>
    <w:rsid w:val="00842EAC"/>
    <w:pPr>
      <w:tabs>
        <w:tab w:val="center" w:pos="4680"/>
        <w:tab w:val="right" w:pos="9360"/>
      </w:tabs>
      <w:spacing w:line="240" w:lineRule="auto"/>
    </w:pPr>
  </w:style>
  <w:style w:type="character" w:customStyle="1" w:styleId="HeaderChar">
    <w:name w:val="Header Char"/>
    <w:basedOn w:val="DefaultParagraphFont"/>
    <w:link w:val="Header"/>
    <w:rsid w:val="00842EAC"/>
  </w:style>
  <w:style w:type="paragraph" w:styleId="Footer">
    <w:name w:val="footer"/>
    <w:basedOn w:val="Normal"/>
    <w:link w:val="FooterChar"/>
    <w:uiPriority w:val="99"/>
    <w:unhideWhenUsed/>
    <w:rsid w:val="00842EAC"/>
    <w:pPr>
      <w:tabs>
        <w:tab w:val="center" w:pos="4680"/>
        <w:tab w:val="right" w:pos="9360"/>
      </w:tabs>
      <w:spacing w:line="240" w:lineRule="auto"/>
    </w:pPr>
  </w:style>
  <w:style w:type="character" w:customStyle="1" w:styleId="FooterChar">
    <w:name w:val="Footer Char"/>
    <w:basedOn w:val="DefaultParagraphFont"/>
    <w:link w:val="Footer"/>
    <w:uiPriority w:val="99"/>
    <w:rsid w:val="00842EAC"/>
  </w:style>
  <w:style w:type="paragraph" w:styleId="BodyText">
    <w:name w:val="Body Text"/>
    <w:basedOn w:val="Normal"/>
    <w:link w:val="BodyTextChar"/>
    <w:rsid w:val="000962E9"/>
    <w:pPr>
      <w:spacing w:after="120" w:line="240" w:lineRule="auto"/>
    </w:pPr>
    <w:rPr>
      <w:rFonts w:ascii=".VnTime" w:eastAsia="Times New Roman" w:hAnsi=".VnTime" w:cs="Times New Roman"/>
      <w:szCs w:val="24"/>
    </w:rPr>
  </w:style>
  <w:style w:type="character" w:customStyle="1" w:styleId="BodyTextChar">
    <w:name w:val="Body Text Char"/>
    <w:basedOn w:val="DefaultParagraphFont"/>
    <w:link w:val="BodyText"/>
    <w:rsid w:val="000962E9"/>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0962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E9"/>
    <w:rPr>
      <w:rFonts w:ascii="Tahoma" w:hAnsi="Tahoma" w:cs="Tahoma"/>
      <w:sz w:val="16"/>
      <w:szCs w:val="16"/>
    </w:rPr>
  </w:style>
  <w:style w:type="character" w:customStyle="1" w:styleId="Heading1Char">
    <w:name w:val="Heading 1 Char"/>
    <w:basedOn w:val="DefaultParagraphFont"/>
    <w:link w:val="Heading1"/>
    <w:uiPriority w:val="9"/>
    <w:rsid w:val="000962E9"/>
    <w:rPr>
      <w:rFonts w:ascii="Arial" w:eastAsiaTheme="majorEastAsia" w:hAnsi="Arial" w:cstheme="majorBidi"/>
      <w:b/>
      <w:bCs/>
      <w:caps/>
      <w:color w:val="1F497D" w:themeColor="text2"/>
      <w:sz w:val="32"/>
      <w:szCs w:val="28"/>
    </w:rPr>
  </w:style>
  <w:style w:type="character" w:customStyle="1" w:styleId="Heading2Char">
    <w:name w:val="Heading 2 Char"/>
    <w:basedOn w:val="DefaultParagraphFont"/>
    <w:link w:val="Heading2"/>
    <w:uiPriority w:val="9"/>
    <w:rsid w:val="00D008B4"/>
    <w:rPr>
      <w:rFonts w:ascii="Arial" w:eastAsiaTheme="majorEastAsia" w:hAnsi="Arial" w:cstheme="majorBidi"/>
      <w:b/>
      <w:bCs/>
      <w:color w:val="1F497D" w:themeColor="text2"/>
      <w:sz w:val="28"/>
      <w:szCs w:val="26"/>
    </w:rPr>
  </w:style>
  <w:style w:type="paragraph" w:styleId="TOC1">
    <w:name w:val="toc 1"/>
    <w:basedOn w:val="Normal"/>
    <w:next w:val="Normal"/>
    <w:autoRedefine/>
    <w:uiPriority w:val="39"/>
    <w:unhideWhenUsed/>
    <w:rsid w:val="00D008B4"/>
    <w:pPr>
      <w:spacing w:before="120" w:after="120"/>
    </w:pPr>
    <w:rPr>
      <w:rFonts w:cstheme="minorHAnsi"/>
      <w:b/>
      <w:bCs/>
      <w:caps/>
      <w:sz w:val="20"/>
      <w:szCs w:val="20"/>
    </w:rPr>
  </w:style>
  <w:style w:type="paragraph" w:styleId="TOC2">
    <w:name w:val="toc 2"/>
    <w:basedOn w:val="Normal"/>
    <w:next w:val="Normal"/>
    <w:autoRedefine/>
    <w:uiPriority w:val="39"/>
    <w:unhideWhenUsed/>
    <w:rsid w:val="00D008B4"/>
    <w:pPr>
      <w:ind w:left="220"/>
    </w:pPr>
    <w:rPr>
      <w:rFonts w:cstheme="minorHAnsi"/>
      <w:smallCaps/>
      <w:sz w:val="20"/>
      <w:szCs w:val="20"/>
    </w:rPr>
  </w:style>
  <w:style w:type="paragraph" w:styleId="TOC3">
    <w:name w:val="toc 3"/>
    <w:basedOn w:val="Normal"/>
    <w:next w:val="Normal"/>
    <w:autoRedefine/>
    <w:uiPriority w:val="39"/>
    <w:unhideWhenUsed/>
    <w:rsid w:val="00D008B4"/>
    <w:pPr>
      <w:ind w:left="440"/>
    </w:pPr>
    <w:rPr>
      <w:rFonts w:cstheme="minorHAnsi"/>
      <w:i/>
      <w:iCs/>
      <w:sz w:val="20"/>
      <w:szCs w:val="20"/>
    </w:rPr>
  </w:style>
  <w:style w:type="paragraph" w:styleId="TOC4">
    <w:name w:val="toc 4"/>
    <w:basedOn w:val="Normal"/>
    <w:next w:val="Normal"/>
    <w:autoRedefine/>
    <w:uiPriority w:val="39"/>
    <w:unhideWhenUsed/>
    <w:rsid w:val="00D008B4"/>
    <w:pPr>
      <w:ind w:left="660"/>
    </w:pPr>
    <w:rPr>
      <w:rFonts w:cstheme="minorHAnsi"/>
      <w:sz w:val="18"/>
      <w:szCs w:val="18"/>
    </w:rPr>
  </w:style>
  <w:style w:type="paragraph" w:styleId="TOC5">
    <w:name w:val="toc 5"/>
    <w:basedOn w:val="Normal"/>
    <w:next w:val="Normal"/>
    <w:autoRedefine/>
    <w:uiPriority w:val="39"/>
    <w:unhideWhenUsed/>
    <w:rsid w:val="00D008B4"/>
    <w:pPr>
      <w:ind w:left="880"/>
    </w:pPr>
    <w:rPr>
      <w:rFonts w:cstheme="minorHAnsi"/>
      <w:sz w:val="18"/>
      <w:szCs w:val="18"/>
    </w:rPr>
  </w:style>
  <w:style w:type="paragraph" w:styleId="TOC6">
    <w:name w:val="toc 6"/>
    <w:basedOn w:val="Normal"/>
    <w:next w:val="Normal"/>
    <w:autoRedefine/>
    <w:uiPriority w:val="39"/>
    <w:unhideWhenUsed/>
    <w:rsid w:val="00D008B4"/>
    <w:pPr>
      <w:ind w:left="1100"/>
    </w:pPr>
    <w:rPr>
      <w:rFonts w:cstheme="minorHAnsi"/>
      <w:sz w:val="18"/>
      <w:szCs w:val="18"/>
    </w:rPr>
  </w:style>
  <w:style w:type="paragraph" w:styleId="TOC7">
    <w:name w:val="toc 7"/>
    <w:basedOn w:val="Normal"/>
    <w:next w:val="Normal"/>
    <w:autoRedefine/>
    <w:uiPriority w:val="39"/>
    <w:unhideWhenUsed/>
    <w:rsid w:val="00D008B4"/>
    <w:pPr>
      <w:ind w:left="1320"/>
    </w:pPr>
    <w:rPr>
      <w:rFonts w:cstheme="minorHAnsi"/>
      <w:sz w:val="18"/>
      <w:szCs w:val="18"/>
    </w:rPr>
  </w:style>
  <w:style w:type="paragraph" w:styleId="TOC8">
    <w:name w:val="toc 8"/>
    <w:basedOn w:val="Normal"/>
    <w:next w:val="Normal"/>
    <w:autoRedefine/>
    <w:uiPriority w:val="39"/>
    <w:unhideWhenUsed/>
    <w:rsid w:val="00D008B4"/>
    <w:pPr>
      <w:ind w:left="1540"/>
    </w:pPr>
    <w:rPr>
      <w:rFonts w:cstheme="minorHAnsi"/>
      <w:sz w:val="18"/>
      <w:szCs w:val="18"/>
    </w:rPr>
  </w:style>
  <w:style w:type="paragraph" w:styleId="TOC9">
    <w:name w:val="toc 9"/>
    <w:basedOn w:val="Normal"/>
    <w:next w:val="Normal"/>
    <w:autoRedefine/>
    <w:uiPriority w:val="39"/>
    <w:unhideWhenUsed/>
    <w:rsid w:val="00D008B4"/>
    <w:pPr>
      <w:ind w:left="1760"/>
    </w:pPr>
    <w:rPr>
      <w:rFonts w:cstheme="minorHAnsi"/>
      <w:sz w:val="18"/>
      <w:szCs w:val="18"/>
    </w:rPr>
  </w:style>
  <w:style w:type="character" w:styleId="Hyperlink">
    <w:name w:val="Hyperlink"/>
    <w:basedOn w:val="DefaultParagraphFont"/>
    <w:uiPriority w:val="99"/>
    <w:unhideWhenUsed/>
    <w:rsid w:val="00D008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8B4"/>
    <w:pPr>
      <w:spacing w:after="0" w:line="288" w:lineRule="auto"/>
    </w:pPr>
    <w:rPr>
      <w:rFonts w:ascii="Arial" w:hAnsi="Arial"/>
      <w:sz w:val="24"/>
    </w:rPr>
  </w:style>
  <w:style w:type="paragraph" w:styleId="Heading1">
    <w:name w:val="heading 1"/>
    <w:basedOn w:val="Normal"/>
    <w:next w:val="Normal"/>
    <w:link w:val="Heading1Char"/>
    <w:uiPriority w:val="9"/>
    <w:qFormat/>
    <w:rsid w:val="000962E9"/>
    <w:pPr>
      <w:keepNext/>
      <w:keepLines/>
      <w:pBdr>
        <w:bottom w:val="single" w:sz="4" w:space="1" w:color="auto"/>
      </w:pBdr>
      <w:spacing w:line="240" w:lineRule="auto"/>
      <w:ind w:left="1152" w:hanging="1152"/>
      <w:outlineLvl w:val="0"/>
    </w:pPr>
    <w:rPr>
      <w:rFonts w:eastAsiaTheme="majorEastAsia" w:cstheme="majorBidi"/>
      <w:b/>
      <w:bCs/>
      <w:caps/>
      <w:color w:val="1F497D" w:themeColor="text2"/>
      <w:sz w:val="32"/>
      <w:szCs w:val="28"/>
    </w:rPr>
  </w:style>
  <w:style w:type="paragraph" w:styleId="Heading2">
    <w:name w:val="heading 2"/>
    <w:basedOn w:val="Normal"/>
    <w:next w:val="Normal"/>
    <w:link w:val="Heading2Char"/>
    <w:uiPriority w:val="9"/>
    <w:unhideWhenUsed/>
    <w:qFormat/>
    <w:rsid w:val="00D008B4"/>
    <w:pPr>
      <w:keepNext/>
      <w:keepLines/>
      <w:spacing w:line="240" w:lineRule="auto"/>
      <w:ind w:left="1152" w:hanging="1152"/>
      <w:outlineLvl w:val="1"/>
    </w:pPr>
    <w:rPr>
      <w:rFonts w:eastAsiaTheme="majorEastAsia" w:cstheme="majorBidi"/>
      <w:b/>
      <w:bCs/>
      <w:color w:val="1F497D"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n,Footnotes,Footnote ak,ALTS FOOTNOTE,Footnote Text Char2 Char,Footnote Text Char1 Char Char,Footnote Text Char Char2 Char Char,Footnote Text Char4 Char Char Char Char,single space,Текст сноски Знак"/>
    <w:basedOn w:val="Normal"/>
    <w:link w:val="FootnoteTextChar"/>
    <w:uiPriority w:val="99"/>
    <w:semiHidden/>
    <w:rsid w:val="00361DC8"/>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n Char,Footnotes Char,Footnote ak Char,ALTS FOOTNOTE Char,Footnote Text Char2 Char Char,Footnote Text Char1 Char Char Char,Footnote Text Char Char2 Char Char Char,single space Char"/>
    <w:basedOn w:val="DefaultParagraphFont"/>
    <w:link w:val="FootnoteText"/>
    <w:uiPriority w:val="99"/>
    <w:semiHidden/>
    <w:rsid w:val="00361DC8"/>
    <w:rPr>
      <w:rFonts w:ascii="Times New Roman" w:eastAsia="Times New Roman" w:hAnsi="Times New Roman" w:cs="Times New Roman"/>
      <w:sz w:val="20"/>
      <w:szCs w:val="20"/>
    </w:rPr>
  </w:style>
  <w:style w:type="character" w:styleId="FootnoteReference">
    <w:name w:val="footnote reference"/>
    <w:aliases w:val="Footnote symbol,Appel note de bas de p,Ref,de nota al pie,callout,Footnotes refss,Footnote,Voetnootverwijzing,Times 10 Point,Exposant 3 Point,ftref,Texto de nota al pie"/>
    <w:semiHidden/>
    <w:rsid w:val="00361DC8"/>
    <w:rPr>
      <w:vertAlign w:val="superscript"/>
    </w:rPr>
  </w:style>
  <w:style w:type="paragraph" w:styleId="Header">
    <w:name w:val="header"/>
    <w:basedOn w:val="Normal"/>
    <w:link w:val="HeaderChar"/>
    <w:unhideWhenUsed/>
    <w:rsid w:val="00842EAC"/>
    <w:pPr>
      <w:tabs>
        <w:tab w:val="center" w:pos="4680"/>
        <w:tab w:val="right" w:pos="9360"/>
      </w:tabs>
      <w:spacing w:line="240" w:lineRule="auto"/>
    </w:pPr>
  </w:style>
  <w:style w:type="character" w:customStyle="1" w:styleId="HeaderChar">
    <w:name w:val="Header Char"/>
    <w:basedOn w:val="DefaultParagraphFont"/>
    <w:link w:val="Header"/>
    <w:rsid w:val="00842EAC"/>
  </w:style>
  <w:style w:type="paragraph" w:styleId="Footer">
    <w:name w:val="footer"/>
    <w:basedOn w:val="Normal"/>
    <w:link w:val="FooterChar"/>
    <w:uiPriority w:val="99"/>
    <w:unhideWhenUsed/>
    <w:rsid w:val="00842EAC"/>
    <w:pPr>
      <w:tabs>
        <w:tab w:val="center" w:pos="4680"/>
        <w:tab w:val="right" w:pos="9360"/>
      </w:tabs>
      <w:spacing w:line="240" w:lineRule="auto"/>
    </w:pPr>
  </w:style>
  <w:style w:type="character" w:customStyle="1" w:styleId="FooterChar">
    <w:name w:val="Footer Char"/>
    <w:basedOn w:val="DefaultParagraphFont"/>
    <w:link w:val="Footer"/>
    <w:uiPriority w:val="99"/>
    <w:rsid w:val="00842EAC"/>
  </w:style>
  <w:style w:type="paragraph" w:styleId="BodyText">
    <w:name w:val="Body Text"/>
    <w:basedOn w:val="Normal"/>
    <w:link w:val="BodyTextChar"/>
    <w:rsid w:val="000962E9"/>
    <w:pPr>
      <w:spacing w:after="120" w:line="240" w:lineRule="auto"/>
    </w:pPr>
    <w:rPr>
      <w:rFonts w:ascii=".VnTime" w:eastAsia="Times New Roman" w:hAnsi=".VnTime" w:cs="Times New Roman"/>
      <w:szCs w:val="24"/>
    </w:rPr>
  </w:style>
  <w:style w:type="character" w:customStyle="1" w:styleId="BodyTextChar">
    <w:name w:val="Body Text Char"/>
    <w:basedOn w:val="DefaultParagraphFont"/>
    <w:link w:val="BodyText"/>
    <w:rsid w:val="000962E9"/>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0962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2E9"/>
    <w:rPr>
      <w:rFonts w:ascii="Tahoma" w:hAnsi="Tahoma" w:cs="Tahoma"/>
      <w:sz w:val="16"/>
      <w:szCs w:val="16"/>
    </w:rPr>
  </w:style>
  <w:style w:type="character" w:customStyle="1" w:styleId="Heading1Char">
    <w:name w:val="Heading 1 Char"/>
    <w:basedOn w:val="DefaultParagraphFont"/>
    <w:link w:val="Heading1"/>
    <w:uiPriority w:val="9"/>
    <w:rsid w:val="000962E9"/>
    <w:rPr>
      <w:rFonts w:ascii="Arial" w:eastAsiaTheme="majorEastAsia" w:hAnsi="Arial" w:cstheme="majorBidi"/>
      <w:b/>
      <w:bCs/>
      <w:caps/>
      <w:color w:val="1F497D" w:themeColor="text2"/>
      <w:sz w:val="32"/>
      <w:szCs w:val="28"/>
    </w:rPr>
  </w:style>
  <w:style w:type="character" w:customStyle="1" w:styleId="Heading2Char">
    <w:name w:val="Heading 2 Char"/>
    <w:basedOn w:val="DefaultParagraphFont"/>
    <w:link w:val="Heading2"/>
    <w:uiPriority w:val="9"/>
    <w:rsid w:val="00D008B4"/>
    <w:rPr>
      <w:rFonts w:ascii="Arial" w:eastAsiaTheme="majorEastAsia" w:hAnsi="Arial" w:cstheme="majorBidi"/>
      <w:b/>
      <w:bCs/>
      <w:color w:val="1F497D" w:themeColor="text2"/>
      <w:sz w:val="28"/>
      <w:szCs w:val="26"/>
    </w:rPr>
  </w:style>
  <w:style w:type="paragraph" w:styleId="TOC1">
    <w:name w:val="toc 1"/>
    <w:basedOn w:val="Normal"/>
    <w:next w:val="Normal"/>
    <w:autoRedefine/>
    <w:uiPriority w:val="39"/>
    <w:unhideWhenUsed/>
    <w:rsid w:val="00D008B4"/>
    <w:pPr>
      <w:spacing w:before="120" w:after="120"/>
    </w:pPr>
    <w:rPr>
      <w:rFonts w:cstheme="minorHAnsi"/>
      <w:b/>
      <w:bCs/>
      <w:caps/>
      <w:sz w:val="20"/>
      <w:szCs w:val="20"/>
    </w:rPr>
  </w:style>
  <w:style w:type="paragraph" w:styleId="TOC2">
    <w:name w:val="toc 2"/>
    <w:basedOn w:val="Normal"/>
    <w:next w:val="Normal"/>
    <w:autoRedefine/>
    <w:uiPriority w:val="39"/>
    <w:unhideWhenUsed/>
    <w:rsid w:val="00D008B4"/>
    <w:pPr>
      <w:ind w:left="220"/>
    </w:pPr>
    <w:rPr>
      <w:rFonts w:cstheme="minorHAnsi"/>
      <w:smallCaps/>
      <w:sz w:val="20"/>
      <w:szCs w:val="20"/>
    </w:rPr>
  </w:style>
  <w:style w:type="paragraph" w:styleId="TOC3">
    <w:name w:val="toc 3"/>
    <w:basedOn w:val="Normal"/>
    <w:next w:val="Normal"/>
    <w:autoRedefine/>
    <w:uiPriority w:val="39"/>
    <w:unhideWhenUsed/>
    <w:rsid w:val="00D008B4"/>
    <w:pPr>
      <w:ind w:left="440"/>
    </w:pPr>
    <w:rPr>
      <w:rFonts w:cstheme="minorHAnsi"/>
      <w:i/>
      <w:iCs/>
      <w:sz w:val="20"/>
      <w:szCs w:val="20"/>
    </w:rPr>
  </w:style>
  <w:style w:type="paragraph" w:styleId="TOC4">
    <w:name w:val="toc 4"/>
    <w:basedOn w:val="Normal"/>
    <w:next w:val="Normal"/>
    <w:autoRedefine/>
    <w:uiPriority w:val="39"/>
    <w:unhideWhenUsed/>
    <w:rsid w:val="00D008B4"/>
    <w:pPr>
      <w:ind w:left="660"/>
    </w:pPr>
    <w:rPr>
      <w:rFonts w:cstheme="minorHAnsi"/>
      <w:sz w:val="18"/>
      <w:szCs w:val="18"/>
    </w:rPr>
  </w:style>
  <w:style w:type="paragraph" w:styleId="TOC5">
    <w:name w:val="toc 5"/>
    <w:basedOn w:val="Normal"/>
    <w:next w:val="Normal"/>
    <w:autoRedefine/>
    <w:uiPriority w:val="39"/>
    <w:unhideWhenUsed/>
    <w:rsid w:val="00D008B4"/>
    <w:pPr>
      <w:ind w:left="880"/>
    </w:pPr>
    <w:rPr>
      <w:rFonts w:cstheme="minorHAnsi"/>
      <w:sz w:val="18"/>
      <w:szCs w:val="18"/>
    </w:rPr>
  </w:style>
  <w:style w:type="paragraph" w:styleId="TOC6">
    <w:name w:val="toc 6"/>
    <w:basedOn w:val="Normal"/>
    <w:next w:val="Normal"/>
    <w:autoRedefine/>
    <w:uiPriority w:val="39"/>
    <w:unhideWhenUsed/>
    <w:rsid w:val="00D008B4"/>
    <w:pPr>
      <w:ind w:left="1100"/>
    </w:pPr>
    <w:rPr>
      <w:rFonts w:cstheme="minorHAnsi"/>
      <w:sz w:val="18"/>
      <w:szCs w:val="18"/>
    </w:rPr>
  </w:style>
  <w:style w:type="paragraph" w:styleId="TOC7">
    <w:name w:val="toc 7"/>
    <w:basedOn w:val="Normal"/>
    <w:next w:val="Normal"/>
    <w:autoRedefine/>
    <w:uiPriority w:val="39"/>
    <w:unhideWhenUsed/>
    <w:rsid w:val="00D008B4"/>
    <w:pPr>
      <w:ind w:left="1320"/>
    </w:pPr>
    <w:rPr>
      <w:rFonts w:cstheme="minorHAnsi"/>
      <w:sz w:val="18"/>
      <w:szCs w:val="18"/>
    </w:rPr>
  </w:style>
  <w:style w:type="paragraph" w:styleId="TOC8">
    <w:name w:val="toc 8"/>
    <w:basedOn w:val="Normal"/>
    <w:next w:val="Normal"/>
    <w:autoRedefine/>
    <w:uiPriority w:val="39"/>
    <w:unhideWhenUsed/>
    <w:rsid w:val="00D008B4"/>
    <w:pPr>
      <w:ind w:left="1540"/>
    </w:pPr>
    <w:rPr>
      <w:rFonts w:cstheme="minorHAnsi"/>
      <w:sz w:val="18"/>
      <w:szCs w:val="18"/>
    </w:rPr>
  </w:style>
  <w:style w:type="paragraph" w:styleId="TOC9">
    <w:name w:val="toc 9"/>
    <w:basedOn w:val="Normal"/>
    <w:next w:val="Normal"/>
    <w:autoRedefine/>
    <w:uiPriority w:val="39"/>
    <w:unhideWhenUsed/>
    <w:rsid w:val="00D008B4"/>
    <w:pPr>
      <w:ind w:left="1760"/>
    </w:pPr>
    <w:rPr>
      <w:rFonts w:cstheme="minorHAnsi"/>
      <w:sz w:val="18"/>
      <w:szCs w:val="18"/>
    </w:rPr>
  </w:style>
  <w:style w:type="character" w:styleId="Hyperlink">
    <w:name w:val="Hyperlink"/>
    <w:basedOn w:val="DefaultParagraphFont"/>
    <w:uiPriority w:val="99"/>
    <w:unhideWhenUsed/>
    <w:rsid w:val="00D008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ney.msn.com/tax-preparation/should-you-do-your-own-taxes-schnepper.aspx"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rs.gov/taxpros/index.html?navmenu=menu1"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rs.gov/uac/IRS-Releases-Specifications-for-Registered-Tax-Return-Preparer-Tes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ale.edu/leitner/resources/docs/tax_morale_leitner.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A55A-7D34-4EF5-A433-6CBFE497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6336</Words>
  <Characters>36119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Mugoya</dc:creator>
  <cp:lastModifiedBy>linda</cp:lastModifiedBy>
  <cp:revision>2</cp:revision>
  <dcterms:created xsi:type="dcterms:W3CDTF">2013-03-15T15:00:00Z</dcterms:created>
  <dcterms:modified xsi:type="dcterms:W3CDTF">2013-03-15T15:00:00Z</dcterms:modified>
</cp:coreProperties>
</file>